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keepLines/>
        <w:pageBreakBefore w:val="0"/>
        <w:widowControl w:val="0"/>
        <w:kinsoku/>
        <w:wordWrap/>
        <w:overflowPunct/>
        <w:topLinePunct w:val="0"/>
        <w:autoSpaceDE/>
        <w:autoSpaceDN/>
        <w:bidi w:val="0"/>
        <w:adjustRightInd/>
        <w:snapToGrid w:val="0"/>
        <w:spacing w:line="240" w:lineRule="auto"/>
        <w:textAlignment w:val="auto"/>
        <w:rPr>
          <w:rFonts w:hint="eastAsia"/>
          <w:b/>
          <w:bCs/>
          <w:color w:val="FF0000"/>
          <w:spacing w:val="108"/>
          <w:sz w:val="56"/>
          <w:szCs w:val="56"/>
          <w:lang w:val="en-US" w:eastAsia="zh-CN"/>
        </w:rPr>
      </w:pPr>
    </w:p>
    <w:p>
      <w:pPr>
        <w:pStyle w:val="33"/>
        <w:bidi w:val="0"/>
        <w:rPr>
          <w:rFonts w:hint="eastAsia"/>
          <w:lang w:val="en-US" w:eastAsia="zh-CN"/>
        </w:rPr>
      </w:pPr>
      <w:bookmarkStart w:id="0" w:name="_Toc3652"/>
      <w:bookmarkStart w:id="1" w:name="_Toc9098"/>
      <w:r>
        <w:rPr>
          <w:rFonts w:hint="eastAsia"/>
          <w:lang w:val="en-US" w:eastAsia="zh-CN"/>
        </w:rPr>
        <w:t>原平市人民政府公报</w:t>
      </w:r>
      <w:bookmarkEnd w:id="0"/>
      <w:bookmarkEnd w:id="1"/>
    </w:p>
    <w:p>
      <w:pPr>
        <w:pStyle w:val="6"/>
        <w:keepNext/>
        <w:keepLines/>
        <w:pageBreakBefore w:val="0"/>
        <w:widowControl w:val="0"/>
        <w:kinsoku/>
        <w:wordWrap/>
        <w:overflowPunct/>
        <w:topLinePunct w:val="0"/>
        <w:autoSpaceDE/>
        <w:autoSpaceDN/>
        <w:bidi w:val="0"/>
        <w:adjustRightInd/>
        <w:snapToGrid w:val="0"/>
        <w:spacing w:before="0" w:after="0" w:line="240" w:lineRule="auto"/>
        <w:ind w:firstLine="0" w:firstLineChars="0"/>
        <w:jc w:val="center"/>
        <w:textAlignment w:val="auto"/>
        <w:rPr>
          <w:rFonts w:hint="eastAsia"/>
          <w:color w:val="auto"/>
          <w:spacing w:val="-6"/>
          <w:sz w:val="24"/>
          <w:szCs w:val="24"/>
          <w:lang w:val="en-US" w:eastAsia="zh-CN"/>
        </w:rPr>
      </w:pPr>
    </w:p>
    <w:p>
      <w:pPr>
        <w:pStyle w:val="6"/>
        <w:keepNext/>
        <w:keepLines/>
        <w:pageBreakBefore w:val="0"/>
        <w:widowControl w:val="0"/>
        <w:kinsoku/>
        <w:wordWrap/>
        <w:overflowPunct/>
        <w:topLinePunct w:val="0"/>
        <w:autoSpaceDE/>
        <w:autoSpaceDN/>
        <w:bidi w:val="0"/>
        <w:adjustRightInd/>
        <w:snapToGrid w:val="0"/>
        <w:spacing w:before="0" w:after="0" w:line="240" w:lineRule="auto"/>
        <w:ind w:firstLine="0" w:firstLineChars="0"/>
        <w:jc w:val="center"/>
        <w:textAlignment w:val="auto"/>
        <w:rPr>
          <w:rFonts w:hint="eastAsia"/>
          <w:color w:val="auto"/>
          <w:spacing w:val="-6"/>
          <w:sz w:val="24"/>
          <w:szCs w:val="24"/>
          <w:lang w:val="en-US" w:eastAsia="zh-CN"/>
        </w:rPr>
      </w:pPr>
    </w:p>
    <w:p>
      <w:pPr>
        <w:pStyle w:val="6"/>
        <w:keepNext/>
        <w:keepLines/>
        <w:pageBreakBefore w:val="0"/>
        <w:widowControl w:val="0"/>
        <w:kinsoku/>
        <w:wordWrap/>
        <w:overflowPunct/>
        <w:topLinePunct w:val="0"/>
        <w:autoSpaceDE/>
        <w:autoSpaceDN/>
        <w:bidi w:val="0"/>
        <w:adjustRightInd/>
        <w:snapToGrid w:val="0"/>
        <w:spacing w:before="0" w:after="0" w:line="240" w:lineRule="auto"/>
        <w:ind w:firstLine="0" w:firstLineChars="0"/>
        <w:jc w:val="center"/>
        <w:textAlignment w:val="auto"/>
        <w:rPr>
          <w:rFonts w:hint="eastAsia"/>
          <w:color w:val="auto"/>
          <w:spacing w:val="-6"/>
          <w:sz w:val="24"/>
          <w:szCs w:val="24"/>
          <w:lang w:val="en-US" w:eastAsia="zh-CN"/>
        </w:rPr>
      </w:pPr>
    </w:p>
    <w:p>
      <w:pPr>
        <w:pStyle w:val="34"/>
        <w:bidi w:val="0"/>
        <w:rPr>
          <w:rFonts w:hint="eastAsia"/>
          <w:lang w:val="en-US" w:eastAsia="zh-CN"/>
        </w:rPr>
      </w:pPr>
      <w:r>
        <w:rPr>
          <w:rFonts w:hint="eastAsia"/>
          <w:lang w:val="en-US" w:eastAsia="zh-CN"/>
        </w:rPr>
        <w:t>2022年第4期</w:t>
      </w:r>
    </w:p>
    <w:p>
      <w:pPr>
        <w:pStyle w:val="35"/>
        <w:bidi w:val="0"/>
        <w:rPr>
          <w:rFonts w:hint="default" w:ascii="黑体" w:hAnsi="黑体" w:eastAsia="黑体" w:cs="黑体"/>
          <w:color w:val="auto"/>
          <w:spacing w:val="-6"/>
          <w:szCs w:val="24"/>
          <w:lang w:val="en-US" w:eastAsia="zh-CN"/>
        </w:rPr>
      </w:pPr>
      <w:r>
        <w:rPr>
          <w:rFonts w:hint="eastAsia"/>
          <w:lang w:val="en-US" w:eastAsia="zh-CN"/>
        </w:rPr>
        <w:t>原平市人民政府办公室主办                              2022年11 月 15 日出版</w:t>
      </w:r>
    </w:p>
    <w:p>
      <w:pPr>
        <w:pStyle w:val="8"/>
        <w:bidi w:val="0"/>
        <w:jc w:val="center"/>
        <w:rPr>
          <w:rFonts w:hint="eastAsia" w:ascii="方正粗倩简体" w:hAnsi="方正粗倩简体" w:eastAsia="方正粗倩简体" w:cs="方正粗倩简体"/>
          <w:color w:val="auto"/>
          <w:sz w:val="50"/>
          <w:szCs w:val="50"/>
          <w:lang w:val="en-US" w:eastAsia="zh-CN"/>
        </w:rPr>
      </w:pPr>
    </w:p>
    <w:p>
      <w:pPr>
        <w:pStyle w:val="36"/>
        <w:bidi w:val="0"/>
        <w:rPr>
          <w:rFonts w:hint="eastAsia"/>
          <w:lang w:val="en-US" w:eastAsia="zh-CN"/>
        </w:rPr>
      </w:pPr>
      <w:r>
        <w:rPr>
          <w:rFonts w:hint="eastAsia"/>
          <w:lang w:val="en-US" w:eastAsia="zh-CN"/>
        </w:rPr>
        <w:t>目  录</w:t>
      </w:r>
    </w:p>
    <w:p>
      <w:pPr>
        <w:pStyle w:val="37"/>
        <w:bidi w:val="0"/>
        <w:rPr>
          <w:rFonts w:hint="eastAsia"/>
          <w:lang w:val="en-US" w:eastAsia="zh-CN"/>
        </w:rPr>
      </w:pPr>
    </w:p>
    <w:p>
      <w:pPr>
        <w:pStyle w:val="37"/>
        <w:bidi w:val="0"/>
        <w:rPr>
          <w:rFonts w:hint="eastAsia"/>
          <w:lang w:val="en-US" w:eastAsia="zh-CN"/>
        </w:rPr>
      </w:pPr>
    </w:p>
    <w:p>
      <w:pPr>
        <w:pStyle w:val="37"/>
        <w:bidi w:val="0"/>
        <w:rPr>
          <w:rFonts w:hint="eastAsia"/>
          <w:lang w:val="en-US" w:eastAsia="zh-CN"/>
        </w:rPr>
      </w:pPr>
      <w:r>
        <w:rPr>
          <w:rFonts w:hint="eastAsia"/>
          <w:lang w:val="en-US" w:eastAsia="zh-CN"/>
        </w:rPr>
        <w:t>【</w:t>
      </w:r>
      <w:r>
        <w:rPr>
          <w:rFonts w:hint="eastAsia"/>
        </w:rPr>
        <w:t>原平市人民政府文件</w:t>
      </w:r>
      <w:r>
        <w:rPr>
          <w:rFonts w:hint="eastAsia"/>
          <w:lang w:val="en-US" w:eastAsia="zh-CN"/>
        </w:rPr>
        <w:t>】</w:t>
      </w:r>
    </w:p>
    <w:p>
      <w:pPr>
        <w:pStyle w:val="16"/>
        <w:tabs>
          <w:tab w:val="right" w:leader="dot" w:pos="9462"/>
        </w:tabs>
      </w:pPr>
      <w:r>
        <w:rPr>
          <w:rFonts w:hint="default"/>
          <w:lang w:val="en-US" w:eastAsia="zh-CN"/>
        </w:rPr>
        <w:fldChar w:fldCharType="begin"/>
      </w:r>
      <w:r>
        <w:rPr>
          <w:rFonts w:hint="default"/>
          <w:lang w:val="en-US" w:eastAsia="zh-CN"/>
        </w:rPr>
        <w:instrText xml:space="preserve">TOC \o "1-2" \h \u </w:instrText>
      </w:r>
      <w:r>
        <w:rPr>
          <w:rFonts w:hint="default"/>
          <w:lang w:val="en-US" w:eastAsia="zh-CN"/>
        </w:rPr>
        <w:fldChar w:fldCharType="separate"/>
      </w:r>
      <w:r>
        <w:rPr>
          <w:rFonts w:hint="default"/>
          <w:lang w:val="en-US" w:eastAsia="zh-CN"/>
        </w:rPr>
        <w:fldChar w:fldCharType="begin"/>
      </w:r>
      <w:r>
        <w:rPr>
          <w:rFonts w:hint="default"/>
          <w:lang w:val="en-US" w:eastAsia="zh-CN"/>
        </w:rPr>
        <w:instrText xml:space="preserve"> HYPERLINK \l _Toc15823 </w:instrText>
      </w:r>
      <w:r>
        <w:rPr>
          <w:rFonts w:hint="default"/>
          <w:lang w:val="en-US" w:eastAsia="zh-CN"/>
        </w:rPr>
        <w:fldChar w:fldCharType="separate"/>
      </w:r>
      <w:r>
        <w:rPr>
          <w:rFonts w:hint="eastAsia"/>
        </w:rPr>
        <w:t>原平市人民政府</w:t>
      </w:r>
      <w:r>
        <w:rPr>
          <w:rFonts w:hint="default"/>
          <w:lang w:val="en-US" w:eastAsia="zh-CN"/>
        </w:rPr>
        <w:fldChar w:fldCharType="end"/>
      </w:r>
      <w:r>
        <w:rPr>
          <w:rFonts w:hint="default"/>
          <w:lang w:val="en-US" w:eastAsia="zh-CN"/>
        </w:rPr>
        <w:fldChar w:fldCharType="begin"/>
      </w:r>
      <w:r>
        <w:rPr>
          <w:rFonts w:hint="default"/>
          <w:lang w:val="en-US" w:eastAsia="zh-CN"/>
        </w:rPr>
        <w:instrText xml:space="preserve"> HYPERLINK \l _Toc25493 </w:instrText>
      </w:r>
      <w:r>
        <w:rPr>
          <w:rFonts w:hint="default"/>
          <w:lang w:val="en-US" w:eastAsia="zh-CN"/>
        </w:rPr>
        <w:fldChar w:fldCharType="separate"/>
      </w:r>
      <w:r>
        <w:rPr>
          <w:rFonts w:hint="eastAsia"/>
        </w:rPr>
        <w:t>关于印发太忻一体化经济区原平市</w:t>
      </w:r>
      <w:r>
        <w:rPr>
          <w:rFonts w:hint="default"/>
          <w:lang w:val="en-US" w:eastAsia="zh-CN"/>
        </w:rPr>
        <w:fldChar w:fldCharType="end"/>
      </w:r>
      <w:r>
        <w:rPr>
          <w:rFonts w:hint="default"/>
          <w:lang w:val="en-US" w:eastAsia="zh-CN"/>
        </w:rPr>
        <w:fldChar w:fldCharType="begin"/>
      </w:r>
      <w:r>
        <w:rPr>
          <w:rFonts w:hint="default"/>
          <w:lang w:val="en-US" w:eastAsia="zh-CN"/>
        </w:rPr>
        <w:instrText xml:space="preserve"> HYPERLINK \l _Toc24133 </w:instrText>
      </w:r>
      <w:r>
        <w:rPr>
          <w:rFonts w:hint="default"/>
          <w:lang w:val="en-US" w:eastAsia="zh-CN"/>
        </w:rPr>
        <w:fldChar w:fldCharType="separate"/>
      </w:r>
      <w:r>
        <w:rPr>
          <w:rFonts w:hint="eastAsia"/>
        </w:rPr>
        <w:t>高质量发展规划的通知</w:t>
      </w:r>
      <w:r>
        <w:rPr>
          <w:rFonts w:hint="default"/>
          <w:lang w:val="en-US" w:eastAsia="zh-CN"/>
        </w:rPr>
        <w:fldChar w:fldCharType="end"/>
      </w:r>
    </w:p>
    <w:p>
      <w:pPr>
        <w:pStyle w:val="17"/>
        <w:tabs>
          <w:tab w:val="right" w:leader="dot" w:pos="9462"/>
        </w:tabs>
      </w:pPr>
      <w:r>
        <w:rPr>
          <w:rFonts w:hint="default"/>
          <w:lang w:val="en-US" w:eastAsia="zh-CN"/>
        </w:rPr>
        <w:fldChar w:fldCharType="begin"/>
      </w:r>
      <w:r>
        <w:rPr>
          <w:rFonts w:hint="default"/>
          <w:lang w:val="en-US" w:eastAsia="zh-CN"/>
        </w:rPr>
        <w:instrText xml:space="preserve"> HYPERLINK \l _Toc4187 </w:instrText>
      </w:r>
      <w:r>
        <w:rPr>
          <w:rFonts w:hint="default"/>
          <w:lang w:val="en-US" w:eastAsia="zh-CN"/>
        </w:rPr>
        <w:fldChar w:fldCharType="separate"/>
      </w:r>
      <w:r>
        <w:rPr>
          <w:rFonts w:hint="eastAsia"/>
        </w:rPr>
        <w:t>原政发〔</w:t>
      </w:r>
      <w:r>
        <w:t>2022</w:t>
      </w:r>
      <w:r>
        <w:rPr>
          <w:rFonts w:hint="eastAsia"/>
        </w:rPr>
        <w:t>〕63号</w:t>
      </w:r>
      <w:r>
        <w:tab/>
      </w:r>
      <w:r>
        <w:rPr>
          <w:rFonts w:hint="eastAsia"/>
          <w:lang w:eastAsia="zh-CN"/>
        </w:rPr>
        <w:t>（</w:t>
      </w:r>
      <w:r>
        <w:fldChar w:fldCharType="begin"/>
      </w:r>
      <w:r>
        <w:instrText xml:space="preserve"> PAGEREF _Toc4187 \h </w:instrText>
      </w:r>
      <w:r>
        <w:fldChar w:fldCharType="separate"/>
      </w:r>
      <w:r>
        <w:t>1</w:t>
      </w:r>
      <w:r>
        <w:fldChar w:fldCharType="end"/>
      </w:r>
      <w:r>
        <w:rPr>
          <w:rFonts w:hint="default"/>
          <w:lang w:val="en-US" w:eastAsia="zh-CN"/>
        </w:rPr>
        <w:fldChar w:fldCharType="end"/>
      </w:r>
      <w:r>
        <w:rPr>
          <w:rFonts w:hint="eastAsia"/>
          <w:lang w:eastAsia="zh-CN"/>
        </w:rPr>
        <w:t>）</w:t>
      </w:r>
    </w:p>
    <w:p>
      <w:pPr>
        <w:pStyle w:val="16"/>
        <w:tabs>
          <w:tab w:val="right" w:leader="dot" w:pos="9462"/>
        </w:tabs>
      </w:pPr>
      <w:r>
        <w:rPr>
          <w:rFonts w:hint="default"/>
          <w:lang w:val="en-US" w:eastAsia="zh-CN"/>
        </w:rPr>
        <w:fldChar w:fldCharType="begin"/>
      </w:r>
      <w:r>
        <w:rPr>
          <w:rFonts w:hint="default"/>
          <w:lang w:val="en-US" w:eastAsia="zh-CN"/>
        </w:rPr>
        <w:instrText xml:space="preserve"> HYPERLINK \l _Toc8476 </w:instrText>
      </w:r>
      <w:r>
        <w:rPr>
          <w:rFonts w:hint="default"/>
          <w:lang w:val="en-US" w:eastAsia="zh-CN"/>
        </w:rPr>
        <w:fldChar w:fldCharType="separate"/>
      </w:r>
      <w:r>
        <w:rPr>
          <w:rFonts w:hint="eastAsia"/>
        </w:rPr>
        <w:t>原平市人民政府</w:t>
      </w:r>
      <w:r>
        <w:rPr>
          <w:rFonts w:hint="default"/>
          <w:lang w:val="en-US" w:eastAsia="zh-CN"/>
        </w:rPr>
        <w:fldChar w:fldCharType="end"/>
      </w:r>
      <w:r>
        <w:rPr>
          <w:rFonts w:hint="default"/>
          <w:lang w:val="en-US" w:eastAsia="zh-CN"/>
        </w:rPr>
        <w:fldChar w:fldCharType="begin"/>
      </w:r>
      <w:r>
        <w:rPr>
          <w:rFonts w:hint="default"/>
          <w:lang w:val="en-US" w:eastAsia="zh-CN"/>
        </w:rPr>
        <w:instrText xml:space="preserve"> HYPERLINK \l _Toc4481 </w:instrText>
      </w:r>
      <w:r>
        <w:rPr>
          <w:rFonts w:hint="default"/>
          <w:lang w:val="en-US" w:eastAsia="zh-CN"/>
        </w:rPr>
        <w:fldChar w:fldCharType="separate"/>
      </w:r>
      <w:r>
        <w:rPr>
          <w:rFonts w:hint="eastAsia"/>
        </w:rPr>
        <w:t>关于印发原平市“十四五”残疾人</w:t>
      </w:r>
      <w:r>
        <w:rPr>
          <w:rFonts w:hint="default"/>
          <w:lang w:val="en-US" w:eastAsia="zh-CN"/>
        </w:rPr>
        <w:fldChar w:fldCharType="end"/>
      </w:r>
      <w:r>
        <w:rPr>
          <w:rFonts w:hint="default"/>
          <w:lang w:val="en-US" w:eastAsia="zh-CN"/>
        </w:rPr>
        <w:fldChar w:fldCharType="begin"/>
      </w:r>
      <w:r>
        <w:rPr>
          <w:rFonts w:hint="default"/>
          <w:lang w:val="en-US" w:eastAsia="zh-CN"/>
        </w:rPr>
        <w:instrText xml:space="preserve"> HYPERLINK \l _Toc20804 </w:instrText>
      </w:r>
      <w:r>
        <w:rPr>
          <w:rFonts w:hint="default"/>
          <w:lang w:val="en-US" w:eastAsia="zh-CN"/>
        </w:rPr>
        <w:fldChar w:fldCharType="separate"/>
      </w:r>
      <w:r>
        <w:rPr>
          <w:rFonts w:hint="eastAsia"/>
        </w:rPr>
        <w:t>保障和发展规划的通知</w:t>
      </w:r>
      <w:r>
        <w:rPr>
          <w:rFonts w:hint="default"/>
          <w:lang w:val="en-US" w:eastAsia="zh-CN"/>
        </w:rPr>
        <w:fldChar w:fldCharType="end"/>
      </w:r>
    </w:p>
    <w:p>
      <w:pPr>
        <w:pStyle w:val="17"/>
        <w:tabs>
          <w:tab w:val="right" w:leader="dot" w:pos="9462"/>
        </w:tabs>
      </w:pPr>
      <w:r>
        <w:rPr>
          <w:rFonts w:hint="default"/>
          <w:lang w:val="en-US" w:eastAsia="zh-CN"/>
        </w:rPr>
        <w:fldChar w:fldCharType="begin"/>
      </w:r>
      <w:r>
        <w:rPr>
          <w:rFonts w:hint="default"/>
          <w:lang w:val="en-US" w:eastAsia="zh-CN"/>
        </w:rPr>
        <w:instrText xml:space="preserve"> HYPERLINK \l _Toc13394 </w:instrText>
      </w:r>
      <w:r>
        <w:rPr>
          <w:rFonts w:hint="default"/>
          <w:lang w:val="en-US" w:eastAsia="zh-CN"/>
        </w:rPr>
        <w:fldChar w:fldCharType="separate"/>
      </w:r>
      <w:r>
        <w:rPr>
          <w:rFonts w:hint="eastAsia"/>
          <w:lang w:val="zh-CN"/>
        </w:rPr>
        <w:t>原政发〔</w:t>
      </w:r>
      <w:r>
        <w:rPr>
          <w:lang w:val="zh-CN"/>
        </w:rPr>
        <w:t>202</w:t>
      </w:r>
      <w:r>
        <w:rPr>
          <w:rFonts w:hint="eastAsia"/>
          <w:lang w:val="zh-CN"/>
        </w:rPr>
        <w:t>2〕64号</w:t>
      </w:r>
      <w:r>
        <w:tab/>
      </w:r>
      <w:r>
        <w:rPr>
          <w:rFonts w:hint="eastAsia"/>
          <w:lang w:eastAsia="zh-CN"/>
        </w:rPr>
        <w:t>（</w:t>
      </w:r>
      <w:r>
        <w:fldChar w:fldCharType="begin"/>
      </w:r>
      <w:r>
        <w:instrText xml:space="preserve"> PAGEREF _Toc13394 \h </w:instrText>
      </w:r>
      <w:r>
        <w:fldChar w:fldCharType="separate"/>
      </w:r>
      <w:r>
        <w:t>1</w:t>
      </w:r>
      <w:r>
        <w:fldChar w:fldCharType="end"/>
      </w:r>
      <w:r>
        <w:rPr>
          <w:rFonts w:hint="default"/>
          <w:lang w:val="en-US" w:eastAsia="zh-CN"/>
        </w:rPr>
        <w:fldChar w:fldCharType="end"/>
      </w:r>
      <w:r>
        <w:rPr>
          <w:rFonts w:hint="eastAsia"/>
          <w:lang w:eastAsia="zh-CN"/>
        </w:rPr>
        <w:t>）</w:t>
      </w:r>
    </w:p>
    <w:p>
      <w:pPr>
        <w:pStyle w:val="16"/>
        <w:tabs>
          <w:tab w:val="right" w:leader="dot" w:pos="9462"/>
        </w:tabs>
      </w:pPr>
      <w:r>
        <w:rPr>
          <w:rFonts w:hint="default"/>
          <w:lang w:val="en-US" w:eastAsia="zh-CN"/>
        </w:rPr>
        <w:fldChar w:fldCharType="begin"/>
      </w:r>
      <w:r>
        <w:rPr>
          <w:rFonts w:hint="default"/>
          <w:lang w:val="en-US" w:eastAsia="zh-CN"/>
        </w:rPr>
        <w:instrText xml:space="preserve"> HYPERLINK \l _Toc25752 </w:instrText>
      </w:r>
      <w:r>
        <w:rPr>
          <w:rFonts w:hint="default"/>
          <w:lang w:val="en-US" w:eastAsia="zh-CN"/>
        </w:rPr>
        <w:fldChar w:fldCharType="separate"/>
      </w:r>
      <w:r>
        <w:rPr>
          <w:rFonts w:hint="eastAsia"/>
        </w:rPr>
        <w:t>原平市人民政府</w:t>
      </w:r>
      <w:r>
        <w:rPr>
          <w:rFonts w:hint="default"/>
          <w:lang w:val="en-US" w:eastAsia="zh-CN"/>
        </w:rPr>
        <w:fldChar w:fldCharType="end"/>
      </w:r>
      <w:r>
        <w:rPr>
          <w:rFonts w:hint="default"/>
          <w:lang w:val="en-US" w:eastAsia="zh-CN"/>
        </w:rPr>
        <w:fldChar w:fldCharType="begin"/>
      </w:r>
      <w:r>
        <w:rPr>
          <w:rFonts w:hint="default"/>
          <w:lang w:val="en-US" w:eastAsia="zh-CN"/>
        </w:rPr>
        <w:instrText xml:space="preserve"> HYPERLINK \l _Toc17958 </w:instrText>
      </w:r>
      <w:r>
        <w:rPr>
          <w:rFonts w:hint="default"/>
          <w:lang w:val="en-US" w:eastAsia="zh-CN"/>
        </w:rPr>
        <w:fldChar w:fldCharType="separate"/>
      </w:r>
      <w:r>
        <w:rPr>
          <w:rFonts w:hint="eastAsia"/>
        </w:rPr>
        <w:t>关于对原平市丽佰嘉文艺活动室存在重大火灾隐患进行销案摘牌的批复</w:t>
      </w:r>
      <w:r>
        <w:rPr>
          <w:rFonts w:hint="default"/>
          <w:lang w:val="en-US" w:eastAsia="zh-CN"/>
        </w:rPr>
        <w:fldChar w:fldCharType="end"/>
      </w:r>
    </w:p>
    <w:p>
      <w:pPr>
        <w:pStyle w:val="17"/>
        <w:tabs>
          <w:tab w:val="right" w:leader="dot" w:pos="9462"/>
        </w:tabs>
      </w:pPr>
      <w:r>
        <w:rPr>
          <w:rFonts w:hint="default"/>
          <w:lang w:val="en-US" w:eastAsia="zh-CN"/>
        </w:rPr>
        <w:fldChar w:fldCharType="begin"/>
      </w:r>
      <w:r>
        <w:rPr>
          <w:rFonts w:hint="default"/>
          <w:lang w:val="en-US" w:eastAsia="zh-CN"/>
        </w:rPr>
        <w:instrText xml:space="preserve"> HYPERLINK \l _Toc3661 </w:instrText>
      </w:r>
      <w:r>
        <w:rPr>
          <w:rFonts w:hint="default"/>
          <w:lang w:val="en-US" w:eastAsia="zh-CN"/>
        </w:rPr>
        <w:fldChar w:fldCharType="separate"/>
      </w:r>
      <w:r>
        <w:rPr>
          <w:rFonts w:hint="eastAsia"/>
        </w:rPr>
        <w:t>原政函〔2022〕99号</w:t>
      </w:r>
      <w:r>
        <w:tab/>
      </w:r>
      <w:r>
        <w:rPr>
          <w:rFonts w:hint="eastAsia"/>
          <w:lang w:eastAsia="zh-CN"/>
        </w:rPr>
        <w:t>（</w:t>
      </w:r>
      <w:r>
        <w:fldChar w:fldCharType="begin"/>
      </w:r>
      <w:r>
        <w:instrText xml:space="preserve"> PAGEREF _Toc3661 \h </w:instrText>
      </w:r>
      <w:r>
        <w:fldChar w:fldCharType="separate"/>
      </w:r>
      <w:r>
        <w:t>17</w:t>
      </w:r>
      <w:r>
        <w:fldChar w:fldCharType="end"/>
      </w:r>
      <w:r>
        <w:rPr>
          <w:rFonts w:hint="default"/>
          <w:lang w:val="en-US" w:eastAsia="zh-CN"/>
        </w:rPr>
        <w:fldChar w:fldCharType="end"/>
      </w:r>
      <w:r>
        <w:rPr>
          <w:rFonts w:hint="eastAsia"/>
          <w:lang w:eastAsia="zh-CN"/>
        </w:rPr>
        <w:t>）</w:t>
      </w:r>
    </w:p>
    <w:p>
      <w:pPr>
        <w:pStyle w:val="16"/>
        <w:tabs>
          <w:tab w:val="right" w:leader="dot" w:pos="9462"/>
        </w:tabs>
      </w:pPr>
      <w:r>
        <w:rPr>
          <w:rFonts w:hint="default"/>
          <w:lang w:val="en-US" w:eastAsia="zh-CN"/>
        </w:rPr>
        <w:fldChar w:fldCharType="begin"/>
      </w:r>
      <w:r>
        <w:rPr>
          <w:rFonts w:hint="default"/>
          <w:lang w:val="en-US" w:eastAsia="zh-CN"/>
        </w:rPr>
        <w:instrText xml:space="preserve"> HYPERLINK \l _Toc25498 </w:instrText>
      </w:r>
      <w:r>
        <w:rPr>
          <w:rFonts w:hint="default"/>
          <w:lang w:val="en-US" w:eastAsia="zh-CN"/>
        </w:rPr>
        <w:fldChar w:fldCharType="separate"/>
      </w:r>
      <w:r>
        <w:rPr>
          <w:rFonts w:hint="eastAsia"/>
        </w:rPr>
        <w:t>原平市人民政府</w:t>
      </w:r>
      <w:r>
        <w:rPr>
          <w:rFonts w:hint="default"/>
          <w:lang w:val="en-US" w:eastAsia="zh-CN"/>
        </w:rPr>
        <w:fldChar w:fldCharType="end"/>
      </w:r>
      <w:r>
        <w:rPr>
          <w:rFonts w:hint="default"/>
          <w:lang w:val="en-US" w:eastAsia="zh-CN"/>
        </w:rPr>
        <w:fldChar w:fldCharType="begin"/>
      </w:r>
      <w:r>
        <w:rPr>
          <w:rFonts w:hint="default"/>
          <w:lang w:val="en-US" w:eastAsia="zh-CN"/>
        </w:rPr>
        <w:instrText xml:space="preserve"> HYPERLINK \l _Toc15836 </w:instrText>
      </w:r>
      <w:r>
        <w:rPr>
          <w:rFonts w:hint="default"/>
          <w:lang w:val="en-US" w:eastAsia="zh-CN"/>
        </w:rPr>
        <w:fldChar w:fldCharType="separate"/>
      </w:r>
      <w:r>
        <w:rPr>
          <w:rFonts w:hint="eastAsia"/>
        </w:rPr>
        <w:t>关于集大原铁路原平段施工便道临时用地</w:t>
      </w:r>
      <w:r>
        <w:rPr>
          <w:rFonts w:hint="default"/>
          <w:lang w:val="en-US" w:eastAsia="zh-CN"/>
        </w:rPr>
        <w:fldChar w:fldCharType="end"/>
      </w:r>
      <w:r>
        <w:rPr>
          <w:rFonts w:hint="default"/>
          <w:lang w:val="en-US" w:eastAsia="zh-CN"/>
        </w:rPr>
        <w:fldChar w:fldCharType="begin"/>
      </w:r>
      <w:r>
        <w:rPr>
          <w:rFonts w:hint="default"/>
          <w:lang w:val="en-US" w:eastAsia="zh-CN"/>
        </w:rPr>
        <w:instrText xml:space="preserve"> HYPERLINK \l _Toc13897 </w:instrText>
      </w:r>
      <w:r>
        <w:rPr>
          <w:rFonts w:hint="default"/>
          <w:lang w:val="en-US" w:eastAsia="zh-CN"/>
        </w:rPr>
        <w:fldChar w:fldCharType="separate"/>
      </w:r>
      <w:r>
        <w:rPr>
          <w:rFonts w:hint="eastAsia"/>
        </w:rPr>
        <w:t>审查意见的批复</w:t>
      </w:r>
      <w:r>
        <w:rPr>
          <w:rFonts w:hint="default"/>
          <w:lang w:val="en-US" w:eastAsia="zh-CN"/>
        </w:rPr>
        <w:fldChar w:fldCharType="end"/>
      </w:r>
    </w:p>
    <w:p>
      <w:pPr>
        <w:pStyle w:val="17"/>
        <w:tabs>
          <w:tab w:val="right" w:leader="dot" w:pos="9462"/>
        </w:tabs>
      </w:pPr>
      <w:r>
        <w:rPr>
          <w:rFonts w:hint="default"/>
          <w:lang w:val="en-US" w:eastAsia="zh-CN"/>
        </w:rPr>
        <w:fldChar w:fldCharType="begin"/>
      </w:r>
      <w:r>
        <w:rPr>
          <w:rFonts w:hint="default"/>
          <w:lang w:val="en-US" w:eastAsia="zh-CN"/>
        </w:rPr>
        <w:instrText xml:space="preserve"> HYPERLINK \l _Toc13912 </w:instrText>
      </w:r>
      <w:r>
        <w:rPr>
          <w:rFonts w:hint="default"/>
          <w:lang w:val="en-US" w:eastAsia="zh-CN"/>
        </w:rPr>
        <w:fldChar w:fldCharType="separate"/>
      </w:r>
      <w:r>
        <w:rPr>
          <w:rFonts w:hint="eastAsia"/>
        </w:rPr>
        <w:t>原政函〔2022〕106号</w:t>
      </w:r>
      <w:r>
        <w:tab/>
      </w:r>
      <w:r>
        <w:rPr>
          <w:rFonts w:hint="eastAsia"/>
          <w:lang w:eastAsia="zh-CN"/>
        </w:rPr>
        <w:t>（</w:t>
      </w:r>
      <w:r>
        <w:fldChar w:fldCharType="begin"/>
      </w:r>
      <w:r>
        <w:instrText xml:space="preserve"> PAGEREF _Toc13912 \h </w:instrText>
      </w:r>
      <w:r>
        <w:fldChar w:fldCharType="separate"/>
      </w:r>
      <w:r>
        <w:t>17</w:t>
      </w:r>
      <w:r>
        <w:fldChar w:fldCharType="end"/>
      </w:r>
      <w:r>
        <w:rPr>
          <w:rFonts w:hint="default"/>
          <w:lang w:val="en-US" w:eastAsia="zh-CN"/>
        </w:rPr>
        <w:fldChar w:fldCharType="end"/>
      </w:r>
      <w:r>
        <w:rPr>
          <w:rFonts w:hint="eastAsia"/>
          <w:lang w:val="en-US" w:eastAsia="zh-CN"/>
        </w:rPr>
        <w:t>）</w:t>
      </w:r>
    </w:p>
    <w:p>
      <w:pPr>
        <w:pStyle w:val="16"/>
        <w:tabs>
          <w:tab w:val="right" w:leader="dot" w:pos="9462"/>
        </w:tabs>
      </w:pPr>
      <w:r>
        <w:rPr>
          <w:rFonts w:hint="default"/>
          <w:lang w:val="en-US" w:eastAsia="zh-CN"/>
        </w:rPr>
        <w:fldChar w:fldCharType="begin"/>
      </w:r>
      <w:r>
        <w:rPr>
          <w:rFonts w:hint="default"/>
          <w:lang w:val="en-US" w:eastAsia="zh-CN"/>
        </w:rPr>
        <w:instrText xml:space="preserve"> HYPERLINK \l _Toc15703 </w:instrText>
      </w:r>
      <w:r>
        <w:rPr>
          <w:rFonts w:hint="default"/>
          <w:lang w:val="en-US" w:eastAsia="zh-CN"/>
        </w:rPr>
        <w:fldChar w:fldCharType="separate"/>
      </w:r>
      <w:r>
        <w:rPr>
          <w:rFonts w:hint="eastAsia"/>
        </w:rPr>
        <w:t>原平市人民政府</w:t>
      </w:r>
      <w:r>
        <w:rPr>
          <w:rFonts w:hint="default"/>
          <w:lang w:val="en-US" w:eastAsia="zh-CN"/>
        </w:rPr>
        <w:fldChar w:fldCharType="end"/>
      </w:r>
      <w:r>
        <w:rPr>
          <w:rFonts w:hint="default"/>
          <w:lang w:val="en-US" w:eastAsia="zh-CN"/>
        </w:rPr>
        <w:fldChar w:fldCharType="begin"/>
      </w:r>
      <w:r>
        <w:rPr>
          <w:rFonts w:hint="default"/>
          <w:lang w:val="en-US" w:eastAsia="zh-CN"/>
        </w:rPr>
        <w:instrText xml:space="preserve"> HYPERLINK \l _Toc2378 </w:instrText>
      </w:r>
      <w:r>
        <w:rPr>
          <w:rFonts w:hint="default"/>
          <w:lang w:val="en-US" w:eastAsia="zh-CN"/>
        </w:rPr>
        <w:fldChar w:fldCharType="separate"/>
      </w:r>
      <w:r>
        <w:rPr>
          <w:rFonts w:hint="eastAsia"/>
        </w:rPr>
        <w:t>关于集大原铁路原平段钢筋加工场和</w:t>
      </w:r>
      <w:r>
        <w:rPr>
          <w:rFonts w:hint="default"/>
          <w:lang w:val="en-US" w:eastAsia="zh-CN"/>
        </w:rPr>
        <w:fldChar w:fldCharType="end"/>
      </w:r>
      <w:r>
        <w:rPr>
          <w:rFonts w:hint="default"/>
          <w:lang w:val="en-US" w:eastAsia="zh-CN"/>
        </w:rPr>
        <w:fldChar w:fldCharType="begin"/>
      </w:r>
      <w:r>
        <w:rPr>
          <w:rFonts w:hint="default"/>
          <w:lang w:val="en-US" w:eastAsia="zh-CN"/>
        </w:rPr>
        <w:instrText xml:space="preserve"> HYPERLINK \l _Toc24402 </w:instrText>
      </w:r>
      <w:r>
        <w:rPr>
          <w:rFonts w:hint="default"/>
          <w:lang w:val="en-US" w:eastAsia="zh-CN"/>
        </w:rPr>
        <w:fldChar w:fldCharType="separate"/>
      </w:r>
      <w:r>
        <w:rPr>
          <w:rFonts w:hint="eastAsia"/>
        </w:rPr>
        <w:t>弃土场临时用地审查意见的批复</w:t>
      </w:r>
      <w:r>
        <w:rPr>
          <w:rFonts w:hint="default"/>
          <w:lang w:val="en-US" w:eastAsia="zh-CN"/>
        </w:rPr>
        <w:fldChar w:fldCharType="end"/>
      </w:r>
    </w:p>
    <w:p>
      <w:pPr>
        <w:pStyle w:val="17"/>
        <w:tabs>
          <w:tab w:val="right" w:leader="dot" w:pos="9462"/>
        </w:tabs>
      </w:pPr>
      <w:r>
        <w:rPr>
          <w:rFonts w:hint="default"/>
          <w:lang w:val="en-US" w:eastAsia="zh-CN"/>
        </w:rPr>
        <w:fldChar w:fldCharType="begin"/>
      </w:r>
      <w:r>
        <w:rPr>
          <w:rFonts w:hint="default"/>
          <w:lang w:val="en-US" w:eastAsia="zh-CN"/>
        </w:rPr>
        <w:instrText xml:space="preserve"> HYPERLINK \l _Toc22916 </w:instrText>
      </w:r>
      <w:r>
        <w:rPr>
          <w:rFonts w:hint="default"/>
          <w:lang w:val="en-US" w:eastAsia="zh-CN"/>
        </w:rPr>
        <w:fldChar w:fldCharType="separate"/>
      </w:r>
      <w:r>
        <w:rPr>
          <w:rFonts w:hint="eastAsia"/>
        </w:rPr>
        <w:t>原政函〔2022〕107号</w:t>
      </w:r>
      <w:r>
        <w:tab/>
      </w:r>
      <w:r>
        <w:rPr>
          <w:rFonts w:hint="eastAsia"/>
          <w:lang w:eastAsia="zh-CN"/>
        </w:rPr>
        <w:t>（</w:t>
      </w:r>
      <w:r>
        <w:fldChar w:fldCharType="begin"/>
      </w:r>
      <w:r>
        <w:instrText xml:space="preserve"> PAGEREF _Toc22916 \h </w:instrText>
      </w:r>
      <w:r>
        <w:fldChar w:fldCharType="separate"/>
      </w:r>
      <w:r>
        <w:t>18</w:t>
      </w:r>
      <w:r>
        <w:fldChar w:fldCharType="end"/>
      </w:r>
      <w:r>
        <w:rPr>
          <w:rFonts w:hint="default"/>
          <w:lang w:val="en-US" w:eastAsia="zh-CN"/>
        </w:rPr>
        <w:fldChar w:fldCharType="end"/>
      </w:r>
      <w:r>
        <w:rPr>
          <w:rFonts w:hint="eastAsia"/>
          <w:lang w:val="en-US" w:eastAsia="zh-CN"/>
        </w:rPr>
        <w:t>）</w:t>
      </w:r>
    </w:p>
    <w:p>
      <w:pPr>
        <w:pStyle w:val="16"/>
        <w:tabs>
          <w:tab w:val="right" w:leader="dot" w:pos="9462"/>
        </w:tabs>
      </w:pPr>
      <w:r>
        <w:rPr>
          <w:rFonts w:hint="default"/>
          <w:lang w:val="en-US" w:eastAsia="zh-CN"/>
        </w:rPr>
        <w:fldChar w:fldCharType="begin"/>
      </w:r>
      <w:r>
        <w:rPr>
          <w:rFonts w:hint="default"/>
          <w:lang w:val="en-US" w:eastAsia="zh-CN"/>
        </w:rPr>
        <w:instrText xml:space="preserve"> HYPERLINK \l _Toc14397 </w:instrText>
      </w:r>
      <w:r>
        <w:rPr>
          <w:rFonts w:hint="default"/>
          <w:lang w:val="en-US" w:eastAsia="zh-CN"/>
        </w:rPr>
        <w:fldChar w:fldCharType="separate"/>
      </w:r>
      <w:r>
        <w:rPr>
          <w:rFonts w:hint="eastAsia"/>
        </w:rPr>
        <w:t>原平市人民政府</w:t>
      </w:r>
      <w:r>
        <w:rPr>
          <w:rFonts w:hint="default"/>
          <w:lang w:val="en-US" w:eastAsia="zh-CN"/>
        </w:rPr>
        <w:fldChar w:fldCharType="end"/>
      </w:r>
      <w:r>
        <w:rPr>
          <w:rFonts w:hint="default"/>
          <w:lang w:val="en-US" w:eastAsia="zh-CN"/>
        </w:rPr>
        <w:fldChar w:fldCharType="begin"/>
      </w:r>
      <w:r>
        <w:rPr>
          <w:rFonts w:hint="default"/>
          <w:lang w:val="en-US" w:eastAsia="zh-CN"/>
        </w:rPr>
        <w:instrText xml:space="preserve"> HYPERLINK \l _Toc11669 </w:instrText>
      </w:r>
      <w:r>
        <w:rPr>
          <w:rFonts w:hint="default"/>
          <w:lang w:val="en-US" w:eastAsia="zh-CN"/>
        </w:rPr>
        <w:fldChar w:fldCharType="separate"/>
      </w:r>
      <w:r>
        <w:rPr>
          <w:rFonts w:hint="eastAsia"/>
        </w:rPr>
        <w:t>关于原平市建制镇污水处理设施及配套管网</w:t>
      </w:r>
      <w:r>
        <w:rPr>
          <w:rFonts w:hint="default"/>
          <w:lang w:val="en-US" w:eastAsia="zh-CN"/>
        </w:rPr>
        <w:fldChar w:fldCharType="end"/>
      </w:r>
      <w:r>
        <w:rPr>
          <w:rFonts w:hint="default"/>
          <w:lang w:val="en-US" w:eastAsia="zh-CN"/>
        </w:rPr>
        <w:fldChar w:fldCharType="begin"/>
      </w:r>
      <w:r>
        <w:rPr>
          <w:rFonts w:hint="default"/>
          <w:lang w:val="en-US" w:eastAsia="zh-CN"/>
        </w:rPr>
        <w:instrText xml:space="preserve"> HYPERLINK \l _Toc27832 </w:instrText>
      </w:r>
      <w:r>
        <w:rPr>
          <w:rFonts w:hint="default"/>
          <w:lang w:val="en-US" w:eastAsia="zh-CN"/>
        </w:rPr>
        <w:fldChar w:fldCharType="separate"/>
      </w:r>
      <w:r>
        <w:rPr>
          <w:rFonts w:hint="eastAsia"/>
        </w:rPr>
        <w:t>建设特许经营项目实施方案的批复</w:t>
      </w:r>
      <w:r>
        <w:rPr>
          <w:rFonts w:hint="default"/>
          <w:lang w:val="en-US" w:eastAsia="zh-CN"/>
        </w:rPr>
        <w:fldChar w:fldCharType="end"/>
      </w:r>
    </w:p>
    <w:p>
      <w:pPr>
        <w:pStyle w:val="17"/>
        <w:tabs>
          <w:tab w:val="right" w:leader="dot" w:pos="9462"/>
        </w:tabs>
      </w:pPr>
      <w:r>
        <w:rPr>
          <w:rFonts w:hint="default"/>
          <w:lang w:val="en-US" w:eastAsia="zh-CN"/>
        </w:rPr>
        <w:fldChar w:fldCharType="begin"/>
      </w:r>
      <w:r>
        <w:rPr>
          <w:rFonts w:hint="default"/>
          <w:lang w:val="en-US" w:eastAsia="zh-CN"/>
        </w:rPr>
        <w:instrText xml:space="preserve"> HYPERLINK \l _Toc5818 </w:instrText>
      </w:r>
      <w:r>
        <w:rPr>
          <w:rFonts w:hint="default"/>
          <w:lang w:val="en-US" w:eastAsia="zh-CN"/>
        </w:rPr>
        <w:fldChar w:fldCharType="separate"/>
      </w:r>
      <w:r>
        <w:rPr>
          <w:rFonts w:hint="eastAsia"/>
        </w:rPr>
        <w:t>原政函〔2022〕109号</w:t>
      </w:r>
      <w:r>
        <w:tab/>
      </w:r>
      <w:r>
        <w:rPr>
          <w:rFonts w:hint="eastAsia"/>
          <w:lang w:eastAsia="zh-CN"/>
        </w:rPr>
        <w:t>（</w:t>
      </w:r>
      <w:r>
        <w:fldChar w:fldCharType="begin"/>
      </w:r>
      <w:r>
        <w:instrText xml:space="preserve"> PAGEREF _Toc5818 \h </w:instrText>
      </w:r>
      <w:r>
        <w:fldChar w:fldCharType="separate"/>
      </w:r>
      <w:r>
        <w:t>18</w:t>
      </w:r>
      <w:r>
        <w:fldChar w:fldCharType="end"/>
      </w:r>
      <w:r>
        <w:rPr>
          <w:rFonts w:hint="default"/>
          <w:lang w:val="en-US" w:eastAsia="zh-CN"/>
        </w:rPr>
        <w:fldChar w:fldCharType="end"/>
      </w:r>
      <w:r>
        <w:rPr>
          <w:rFonts w:hint="eastAsia"/>
          <w:lang w:val="en-US" w:eastAsia="zh-CN"/>
        </w:rPr>
        <w:t>）</w:t>
      </w:r>
    </w:p>
    <w:p>
      <w:pPr>
        <w:pStyle w:val="16"/>
        <w:tabs>
          <w:tab w:val="right" w:leader="dot" w:pos="9462"/>
        </w:tabs>
        <w:rPr>
          <w:rFonts w:hint="default"/>
          <w:lang w:val="en-US" w:eastAsia="zh-CN"/>
        </w:rPr>
        <w:sectPr>
          <w:headerReference r:id="rId5" w:type="default"/>
          <w:headerReference r:id="rId6" w:type="even"/>
          <w:pgSz w:w="12240" w:h="16498"/>
          <w:pgMar w:top="1145" w:right="1389" w:bottom="1134" w:left="1389" w:header="1043" w:footer="992" w:gutter="0"/>
          <w:pgNumType w:fmt="decimal" w:start="3"/>
          <w:cols w:space="0" w:num="1"/>
          <w:rtlGutter w:val="0"/>
          <w:docGrid w:type="lines" w:linePitch="312" w:charSpace="0"/>
        </w:sectPr>
      </w:pPr>
    </w:p>
    <w:p>
      <w:pPr>
        <w:rPr>
          <w:rFonts w:hint="default"/>
          <w:lang w:val="en-US" w:eastAsia="zh-CN"/>
        </w:rPr>
        <w:sectPr>
          <w:pgSz w:w="12240" w:h="16498"/>
          <w:pgMar w:top="1145" w:right="1389" w:bottom="1134" w:left="1389" w:header="1043" w:footer="992" w:gutter="0"/>
          <w:pgNumType w:fmt="decimal" w:start="3"/>
          <w:cols w:space="0" w:num="1"/>
          <w:rtlGutter w:val="0"/>
          <w:docGrid w:type="lines" w:linePitch="312" w:charSpace="0"/>
        </w:sectPr>
      </w:pPr>
    </w:p>
    <w:p>
      <w:pPr>
        <w:pStyle w:val="16"/>
        <w:tabs>
          <w:tab w:val="right" w:leader="dot" w:pos="9462"/>
        </w:tabs>
      </w:pPr>
      <w:r>
        <w:rPr>
          <w:rFonts w:hint="default"/>
          <w:lang w:val="en-US" w:eastAsia="zh-CN"/>
        </w:rPr>
        <w:fldChar w:fldCharType="begin"/>
      </w:r>
      <w:r>
        <w:rPr>
          <w:rFonts w:hint="default"/>
          <w:lang w:val="en-US" w:eastAsia="zh-CN"/>
        </w:rPr>
        <w:instrText xml:space="preserve"> HYPERLINK \l _Toc21412 </w:instrText>
      </w:r>
      <w:r>
        <w:rPr>
          <w:rFonts w:hint="default"/>
          <w:lang w:val="en-US" w:eastAsia="zh-CN"/>
        </w:rPr>
        <w:fldChar w:fldCharType="separate"/>
      </w:r>
      <w:r>
        <w:rPr>
          <w:rFonts w:hint="eastAsia"/>
        </w:rPr>
        <w:t>原平市人民政府</w:t>
      </w:r>
      <w:r>
        <w:rPr>
          <w:rFonts w:hint="default"/>
          <w:lang w:val="en-US" w:eastAsia="zh-CN"/>
        </w:rPr>
        <w:fldChar w:fldCharType="end"/>
      </w:r>
      <w:r>
        <w:rPr>
          <w:rFonts w:hint="default"/>
          <w:lang w:val="en-US" w:eastAsia="zh-CN"/>
        </w:rPr>
        <w:fldChar w:fldCharType="begin"/>
      </w:r>
      <w:r>
        <w:rPr>
          <w:rFonts w:hint="default"/>
          <w:lang w:val="en-US" w:eastAsia="zh-CN"/>
        </w:rPr>
        <w:instrText xml:space="preserve"> HYPERLINK \l _Toc22660 </w:instrText>
      </w:r>
      <w:r>
        <w:rPr>
          <w:rFonts w:hint="default"/>
          <w:lang w:val="en-US" w:eastAsia="zh-CN"/>
        </w:rPr>
        <w:fldChar w:fldCharType="separate"/>
      </w:r>
      <w:r>
        <w:rPr>
          <w:rFonts w:hint="eastAsia"/>
        </w:rPr>
        <w:t>关于原平市无控规地块规划条件设定的批复</w:t>
      </w:r>
      <w:r>
        <w:rPr>
          <w:rFonts w:hint="default"/>
          <w:lang w:val="en-US" w:eastAsia="zh-CN"/>
        </w:rPr>
        <w:fldChar w:fldCharType="end"/>
      </w:r>
    </w:p>
    <w:p>
      <w:pPr>
        <w:pStyle w:val="17"/>
        <w:tabs>
          <w:tab w:val="right" w:leader="dot" w:pos="9462"/>
        </w:tabs>
        <w:rPr>
          <w:rFonts w:hint="eastAsia"/>
          <w:lang w:val="en-US" w:eastAsia="zh-CN"/>
        </w:rPr>
      </w:pPr>
      <w:r>
        <w:rPr>
          <w:rFonts w:hint="default"/>
          <w:lang w:val="en-US" w:eastAsia="zh-CN"/>
        </w:rPr>
        <w:fldChar w:fldCharType="begin"/>
      </w:r>
      <w:r>
        <w:rPr>
          <w:rFonts w:hint="default"/>
          <w:lang w:val="en-US" w:eastAsia="zh-CN"/>
        </w:rPr>
        <w:instrText xml:space="preserve"> HYPERLINK \l _Toc4538 </w:instrText>
      </w:r>
      <w:r>
        <w:rPr>
          <w:rFonts w:hint="default"/>
          <w:lang w:val="en-US" w:eastAsia="zh-CN"/>
        </w:rPr>
        <w:fldChar w:fldCharType="separate"/>
      </w:r>
      <w:r>
        <w:rPr>
          <w:rFonts w:hint="eastAsia"/>
        </w:rPr>
        <w:t>原政函〔2022〕114号</w:t>
      </w:r>
      <w:r>
        <w:tab/>
      </w:r>
      <w:r>
        <w:rPr>
          <w:rFonts w:hint="eastAsia"/>
          <w:lang w:eastAsia="zh-CN"/>
        </w:rPr>
        <w:t>（</w:t>
      </w:r>
      <w:r>
        <w:fldChar w:fldCharType="begin"/>
      </w:r>
      <w:r>
        <w:instrText xml:space="preserve"> PAGEREF _Toc4538 \h </w:instrText>
      </w:r>
      <w:r>
        <w:fldChar w:fldCharType="separate"/>
      </w:r>
      <w:r>
        <w:t>19</w:t>
      </w:r>
      <w:r>
        <w:fldChar w:fldCharType="end"/>
      </w:r>
      <w:r>
        <w:rPr>
          <w:rFonts w:hint="default"/>
          <w:lang w:val="en-US" w:eastAsia="zh-CN"/>
        </w:rPr>
        <w:fldChar w:fldCharType="end"/>
      </w:r>
      <w:r>
        <w:rPr>
          <w:rFonts w:hint="eastAsia"/>
          <w:lang w:val="en-US" w:eastAsia="zh-CN"/>
        </w:rPr>
        <w:t>）</w:t>
      </w:r>
    </w:p>
    <w:p>
      <w:pPr>
        <w:pStyle w:val="16"/>
        <w:bidi w:val="0"/>
      </w:pPr>
      <w:r>
        <w:rPr>
          <w:rFonts w:hint="default"/>
          <w:lang w:val="en-US" w:eastAsia="zh-CN"/>
        </w:rPr>
        <w:fldChar w:fldCharType="begin"/>
      </w:r>
      <w:r>
        <w:rPr>
          <w:rFonts w:hint="default"/>
          <w:lang w:val="en-US" w:eastAsia="zh-CN"/>
        </w:rPr>
        <w:instrText xml:space="preserve"> HYPERLINK \l _Toc24205 </w:instrText>
      </w:r>
      <w:r>
        <w:rPr>
          <w:rFonts w:hint="default"/>
          <w:lang w:val="en-US" w:eastAsia="zh-CN"/>
        </w:rPr>
        <w:fldChar w:fldCharType="separate"/>
      </w:r>
      <w:r>
        <w:rPr>
          <w:rFonts w:hint="eastAsia"/>
        </w:rPr>
        <w:t>原平市人民政府</w:t>
      </w:r>
      <w:r>
        <w:rPr>
          <w:rFonts w:hint="default"/>
          <w:lang w:val="en-US" w:eastAsia="zh-CN"/>
        </w:rPr>
        <w:fldChar w:fldCharType="end"/>
      </w:r>
      <w:r>
        <w:rPr>
          <w:rFonts w:hint="default"/>
          <w:lang w:val="en-US" w:eastAsia="zh-CN"/>
        </w:rPr>
        <w:fldChar w:fldCharType="begin"/>
      </w:r>
      <w:r>
        <w:rPr>
          <w:rFonts w:hint="default"/>
          <w:lang w:val="en-US" w:eastAsia="zh-CN"/>
        </w:rPr>
        <w:instrText xml:space="preserve"> HYPERLINK \l _Toc24287 </w:instrText>
      </w:r>
      <w:r>
        <w:rPr>
          <w:rFonts w:hint="default"/>
          <w:lang w:val="en-US" w:eastAsia="zh-CN"/>
        </w:rPr>
        <w:fldChar w:fldCharType="separate"/>
      </w:r>
      <w:r>
        <w:rPr>
          <w:rFonts w:hint="eastAsia"/>
        </w:rPr>
        <w:t>关于公开出让2022—43地块国有建设用地</w:t>
      </w:r>
      <w:r>
        <w:rPr>
          <w:rFonts w:hint="default"/>
          <w:lang w:val="en-US" w:eastAsia="zh-CN"/>
        </w:rPr>
        <w:fldChar w:fldCharType="end"/>
      </w:r>
      <w:r>
        <w:rPr>
          <w:rFonts w:hint="default"/>
          <w:lang w:val="en-US" w:eastAsia="zh-CN"/>
        </w:rPr>
        <w:fldChar w:fldCharType="begin"/>
      </w:r>
      <w:r>
        <w:rPr>
          <w:rFonts w:hint="default"/>
          <w:lang w:val="en-US" w:eastAsia="zh-CN"/>
        </w:rPr>
        <w:instrText xml:space="preserve"> HYPERLINK \l _Toc30962 </w:instrText>
      </w:r>
      <w:r>
        <w:rPr>
          <w:rFonts w:hint="default"/>
          <w:lang w:val="en-US" w:eastAsia="zh-CN"/>
        </w:rPr>
        <w:fldChar w:fldCharType="separate"/>
      </w:r>
      <w:r>
        <w:rPr>
          <w:rFonts w:hint="eastAsia"/>
        </w:rPr>
        <w:t>使用权方案的批复</w:t>
      </w:r>
      <w:r>
        <w:rPr>
          <w:rFonts w:hint="default"/>
          <w:lang w:val="en-US" w:eastAsia="zh-CN"/>
        </w:rPr>
        <w:fldChar w:fldCharType="end"/>
      </w:r>
    </w:p>
    <w:p>
      <w:pPr>
        <w:pStyle w:val="17"/>
        <w:tabs>
          <w:tab w:val="right" w:leader="dot" w:pos="9462"/>
        </w:tabs>
      </w:pPr>
      <w:r>
        <w:rPr>
          <w:rFonts w:hint="default"/>
          <w:lang w:val="en-US" w:eastAsia="zh-CN"/>
        </w:rPr>
        <w:fldChar w:fldCharType="begin"/>
      </w:r>
      <w:r>
        <w:rPr>
          <w:rFonts w:hint="default"/>
          <w:lang w:val="en-US" w:eastAsia="zh-CN"/>
        </w:rPr>
        <w:instrText xml:space="preserve"> HYPERLINK \l _Toc11088 </w:instrText>
      </w:r>
      <w:r>
        <w:rPr>
          <w:rFonts w:hint="default"/>
          <w:lang w:val="en-US" w:eastAsia="zh-CN"/>
        </w:rPr>
        <w:fldChar w:fldCharType="separate"/>
      </w:r>
      <w:r>
        <w:rPr>
          <w:rFonts w:hint="eastAsia"/>
        </w:rPr>
        <w:t>原政函〔2022〕122号</w:t>
      </w:r>
      <w:r>
        <w:tab/>
      </w:r>
      <w:r>
        <w:rPr>
          <w:rFonts w:hint="eastAsia"/>
          <w:lang w:eastAsia="zh-CN"/>
        </w:rPr>
        <w:t>（</w:t>
      </w:r>
      <w:r>
        <w:fldChar w:fldCharType="begin"/>
      </w:r>
      <w:r>
        <w:instrText xml:space="preserve"> PAGEREF _Toc11088 \h </w:instrText>
      </w:r>
      <w:r>
        <w:fldChar w:fldCharType="separate"/>
      </w:r>
      <w:r>
        <w:t>19</w:t>
      </w:r>
      <w:r>
        <w:fldChar w:fldCharType="end"/>
      </w:r>
      <w:r>
        <w:rPr>
          <w:rFonts w:hint="default"/>
          <w:lang w:val="en-US" w:eastAsia="zh-CN"/>
        </w:rPr>
        <w:fldChar w:fldCharType="end"/>
      </w:r>
      <w:r>
        <w:rPr>
          <w:rFonts w:hint="eastAsia"/>
          <w:lang w:val="en-US" w:eastAsia="zh-CN"/>
        </w:rPr>
        <w:t>）</w:t>
      </w:r>
    </w:p>
    <w:p>
      <w:pPr>
        <w:pStyle w:val="37"/>
        <w:bidi w:val="0"/>
        <w:rPr>
          <w:rFonts w:hint="eastAsia"/>
          <w:lang w:val="en-US" w:eastAsia="zh-CN"/>
        </w:rPr>
      </w:pPr>
    </w:p>
    <w:p>
      <w:pPr>
        <w:pStyle w:val="37"/>
        <w:bidi w:val="0"/>
        <w:rPr>
          <w:rFonts w:hint="eastAsia"/>
          <w:lang w:val="en-US" w:eastAsia="zh-CN"/>
        </w:rPr>
      </w:pPr>
      <w:r>
        <w:rPr>
          <w:rFonts w:hint="eastAsia"/>
          <w:lang w:val="en-US" w:eastAsia="zh-CN"/>
        </w:rPr>
        <w:t>【</w:t>
      </w:r>
      <w:r>
        <w:rPr>
          <w:rFonts w:hint="eastAsia"/>
        </w:rPr>
        <w:t>原平市人民政府</w:t>
      </w:r>
      <w:r>
        <w:rPr>
          <w:rFonts w:hint="eastAsia"/>
          <w:lang w:eastAsia="zh-CN"/>
        </w:rPr>
        <w:t>办公室</w:t>
      </w:r>
      <w:r>
        <w:rPr>
          <w:rFonts w:hint="eastAsia"/>
        </w:rPr>
        <w:t>文件</w:t>
      </w:r>
      <w:r>
        <w:rPr>
          <w:rFonts w:hint="eastAsia"/>
          <w:lang w:val="en-US" w:eastAsia="zh-CN"/>
        </w:rPr>
        <w:t>】</w:t>
      </w:r>
    </w:p>
    <w:p>
      <w:pPr>
        <w:pStyle w:val="16"/>
        <w:tabs>
          <w:tab w:val="right" w:leader="dot" w:pos="9462"/>
        </w:tabs>
      </w:pPr>
      <w:r>
        <w:rPr>
          <w:rFonts w:hint="default"/>
          <w:lang w:val="en-US" w:eastAsia="zh-CN"/>
        </w:rPr>
        <w:fldChar w:fldCharType="begin"/>
      </w:r>
      <w:r>
        <w:rPr>
          <w:rFonts w:hint="default"/>
          <w:lang w:val="en-US" w:eastAsia="zh-CN"/>
        </w:rPr>
        <w:instrText xml:space="preserve"> HYPERLINK \l _Toc23909 </w:instrText>
      </w:r>
      <w:r>
        <w:rPr>
          <w:rFonts w:hint="default"/>
          <w:lang w:val="en-US" w:eastAsia="zh-CN"/>
        </w:rPr>
        <w:fldChar w:fldCharType="separate"/>
      </w:r>
      <w:r>
        <w:rPr>
          <w:rFonts w:hint="eastAsia"/>
        </w:rPr>
        <w:t>原平市人民政府办公室</w:t>
      </w:r>
      <w:r>
        <w:rPr>
          <w:rFonts w:hint="default"/>
          <w:lang w:val="en-US" w:eastAsia="zh-CN"/>
        </w:rPr>
        <w:fldChar w:fldCharType="end"/>
      </w:r>
      <w:r>
        <w:rPr>
          <w:rFonts w:hint="default"/>
          <w:lang w:val="en-US" w:eastAsia="zh-CN"/>
        </w:rPr>
        <w:fldChar w:fldCharType="begin"/>
      </w:r>
      <w:r>
        <w:rPr>
          <w:rFonts w:hint="default"/>
          <w:lang w:val="en-US" w:eastAsia="zh-CN"/>
        </w:rPr>
        <w:instrText xml:space="preserve"> HYPERLINK \l _Toc19146 </w:instrText>
      </w:r>
      <w:r>
        <w:rPr>
          <w:rFonts w:hint="default"/>
          <w:lang w:val="en-US" w:eastAsia="zh-CN"/>
        </w:rPr>
        <w:fldChar w:fldCharType="separate"/>
      </w:r>
      <w:r>
        <w:rPr>
          <w:rFonts w:hint="eastAsia"/>
        </w:rPr>
        <w:t>关于印发原平市乡（镇、街道）集中式饮用水</w:t>
      </w:r>
      <w:r>
        <w:rPr>
          <w:rFonts w:hint="default"/>
          <w:lang w:val="en-US" w:eastAsia="zh-CN"/>
        </w:rPr>
        <w:fldChar w:fldCharType="end"/>
      </w:r>
      <w:r>
        <w:rPr>
          <w:rFonts w:hint="default"/>
          <w:lang w:val="en-US" w:eastAsia="zh-CN"/>
        </w:rPr>
        <w:fldChar w:fldCharType="begin"/>
      </w:r>
      <w:r>
        <w:rPr>
          <w:rFonts w:hint="default"/>
          <w:lang w:val="en-US" w:eastAsia="zh-CN"/>
        </w:rPr>
        <w:instrText xml:space="preserve"> HYPERLINK \l _Toc6682 </w:instrText>
      </w:r>
      <w:r>
        <w:rPr>
          <w:rFonts w:hint="default"/>
          <w:lang w:val="en-US" w:eastAsia="zh-CN"/>
        </w:rPr>
        <w:fldChar w:fldCharType="separate"/>
      </w:r>
      <w:r>
        <w:rPr>
          <w:rFonts w:hint="eastAsia"/>
        </w:rPr>
        <w:t>水源地突发环境事件应急预案的通知</w:t>
      </w:r>
      <w:r>
        <w:rPr>
          <w:rFonts w:hint="default"/>
          <w:lang w:val="en-US" w:eastAsia="zh-CN"/>
        </w:rPr>
        <w:fldChar w:fldCharType="end"/>
      </w:r>
    </w:p>
    <w:p>
      <w:pPr>
        <w:pStyle w:val="17"/>
        <w:tabs>
          <w:tab w:val="right" w:leader="dot" w:pos="9462"/>
        </w:tabs>
      </w:pPr>
      <w:r>
        <w:rPr>
          <w:rFonts w:hint="default"/>
          <w:lang w:val="en-US" w:eastAsia="zh-CN"/>
        </w:rPr>
        <w:fldChar w:fldCharType="begin"/>
      </w:r>
      <w:r>
        <w:rPr>
          <w:rFonts w:hint="default"/>
          <w:lang w:val="en-US" w:eastAsia="zh-CN"/>
        </w:rPr>
        <w:instrText xml:space="preserve"> HYPERLINK \l _Toc15969 </w:instrText>
      </w:r>
      <w:r>
        <w:rPr>
          <w:rFonts w:hint="default"/>
          <w:lang w:val="en-US" w:eastAsia="zh-CN"/>
        </w:rPr>
        <w:fldChar w:fldCharType="separate"/>
      </w:r>
      <w:r>
        <w:rPr>
          <w:rFonts w:hint="eastAsia"/>
        </w:rPr>
        <w:t>原政办发〔2022〕34号</w:t>
      </w:r>
      <w:r>
        <w:tab/>
      </w:r>
      <w:r>
        <w:rPr>
          <w:rFonts w:hint="eastAsia"/>
          <w:lang w:eastAsia="zh-CN"/>
        </w:rPr>
        <w:t>（</w:t>
      </w:r>
      <w:r>
        <w:fldChar w:fldCharType="begin"/>
      </w:r>
      <w:r>
        <w:instrText xml:space="preserve"> PAGEREF _Toc15969 \h </w:instrText>
      </w:r>
      <w:r>
        <w:fldChar w:fldCharType="separate"/>
      </w:r>
      <w:r>
        <w:t>20</w:t>
      </w:r>
      <w:r>
        <w:fldChar w:fldCharType="end"/>
      </w:r>
      <w:r>
        <w:rPr>
          <w:rFonts w:hint="default"/>
          <w:lang w:val="en-US" w:eastAsia="zh-CN"/>
        </w:rPr>
        <w:fldChar w:fldCharType="end"/>
      </w:r>
      <w:r>
        <w:rPr>
          <w:rFonts w:hint="eastAsia"/>
          <w:lang w:val="en-US" w:eastAsia="zh-CN"/>
        </w:rPr>
        <w:t>）</w:t>
      </w:r>
    </w:p>
    <w:p>
      <w:pPr>
        <w:pStyle w:val="16"/>
        <w:tabs>
          <w:tab w:val="right" w:leader="dot" w:pos="9462"/>
        </w:tabs>
      </w:pPr>
      <w:r>
        <w:rPr>
          <w:rFonts w:hint="default"/>
          <w:lang w:val="en-US" w:eastAsia="zh-CN"/>
        </w:rPr>
        <w:fldChar w:fldCharType="begin"/>
      </w:r>
      <w:r>
        <w:rPr>
          <w:rFonts w:hint="default"/>
          <w:lang w:val="en-US" w:eastAsia="zh-CN"/>
        </w:rPr>
        <w:instrText xml:space="preserve"> HYPERLINK \l _Toc20701 </w:instrText>
      </w:r>
      <w:r>
        <w:rPr>
          <w:rFonts w:hint="default"/>
          <w:lang w:val="en-US" w:eastAsia="zh-CN"/>
        </w:rPr>
        <w:fldChar w:fldCharType="separate"/>
      </w:r>
      <w:r>
        <w:rPr>
          <w:rFonts w:hint="eastAsia"/>
        </w:rPr>
        <w:t>原平市人民政府办公室</w:t>
      </w:r>
      <w:r>
        <w:rPr>
          <w:rFonts w:hint="default"/>
          <w:lang w:val="en-US" w:eastAsia="zh-CN"/>
        </w:rPr>
        <w:fldChar w:fldCharType="end"/>
      </w:r>
      <w:r>
        <w:rPr>
          <w:rFonts w:hint="default"/>
          <w:lang w:val="en-US" w:eastAsia="zh-CN"/>
        </w:rPr>
        <w:fldChar w:fldCharType="begin"/>
      </w:r>
      <w:r>
        <w:rPr>
          <w:rFonts w:hint="default"/>
          <w:lang w:val="en-US" w:eastAsia="zh-CN"/>
        </w:rPr>
        <w:instrText xml:space="preserve"> HYPERLINK \l _Toc14755 </w:instrText>
      </w:r>
      <w:r>
        <w:rPr>
          <w:rFonts w:hint="default"/>
          <w:lang w:val="en-US" w:eastAsia="zh-CN"/>
        </w:rPr>
        <w:fldChar w:fldCharType="separate"/>
      </w:r>
      <w:r>
        <w:rPr>
          <w:rFonts w:hint="eastAsia"/>
        </w:rPr>
        <w:t>关于印发原平市严厉打击非法违法采矿</w:t>
      </w:r>
      <w:r>
        <w:rPr>
          <w:rFonts w:hint="default"/>
          <w:lang w:val="en-US" w:eastAsia="zh-CN"/>
        </w:rPr>
        <w:fldChar w:fldCharType="end"/>
      </w:r>
      <w:r>
        <w:rPr>
          <w:rFonts w:hint="default"/>
          <w:lang w:val="en-US" w:eastAsia="zh-CN"/>
        </w:rPr>
        <w:fldChar w:fldCharType="begin"/>
      </w:r>
      <w:r>
        <w:rPr>
          <w:rFonts w:hint="default"/>
          <w:lang w:val="en-US" w:eastAsia="zh-CN"/>
        </w:rPr>
        <w:instrText xml:space="preserve"> HYPERLINK \l _Toc1041 </w:instrText>
      </w:r>
      <w:r>
        <w:rPr>
          <w:rFonts w:hint="default"/>
          <w:lang w:val="en-US" w:eastAsia="zh-CN"/>
        </w:rPr>
        <w:fldChar w:fldCharType="separate"/>
      </w:r>
      <w:r>
        <w:rPr>
          <w:rFonts w:hint="eastAsia"/>
        </w:rPr>
        <w:t>抓落实工作推进机制的通知</w:t>
      </w:r>
      <w:r>
        <w:rPr>
          <w:rFonts w:hint="default"/>
          <w:lang w:val="en-US" w:eastAsia="zh-CN"/>
        </w:rPr>
        <w:fldChar w:fldCharType="end"/>
      </w:r>
    </w:p>
    <w:p>
      <w:pPr>
        <w:pStyle w:val="17"/>
        <w:tabs>
          <w:tab w:val="right" w:leader="dot" w:pos="9462"/>
        </w:tabs>
      </w:pPr>
      <w:r>
        <w:rPr>
          <w:rFonts w:hint="default"/>
          <w:lang w:val="en-US" w:eastAsia="zh-CN"/>
        </w:rPr>
        <w:fldChar w:fldCharType="begin"/>
      </w:r>
      <w:r>
        <w:rPr>
          <w:rFonts w:hint="default"/>
          <w:lang w:val="en-US" w:eastAsia="zh-CN"/>
        </w:rPr>
        <w:instrText xml:space="preserve"> HYPERLINK \l _Toc9782 </w:instrText>
      </w:r>
      <w:r>
        <w:rPr>
          <w:rFonts w:hint="default"/>
          <w:lang w:val="en-US" w:eastAsia="zh-CN"/>
        </w:rPr>
        <w:fldChar w:fldCharType="separate"/>
      </w:r>
      <w:r>
        <w:rPr>
          <w:rFonts w:hint="eastAsia"/>
        </w:rPr>
        <w:t>原政办发〔2022〕35号</w:t>
      </w:r>
      <w:r>
        <w:tab/>
      </w:r>
      <w:r>
        <w:rPr>
          <w:rFonts w:hint="eastAsia"/>
          <w:lang w:eastAsia="zh-CN"/>
        </w:rPr>
        <w:t>（</w:t>
      </w:r>
      <w:r>
        <w:fldChar w:fldCharType="begin"/>
      </w:r>
      <w:r>
        <w:instrText xml:space="preserve"> PAGEREF _Toc9782 \h </w:instrText>
      </w:r>
      <w:r>
        <w:fldChar w:fldCharType="separate"/>
      </w:r>
      <w:r>
        <w:t>28</w:t>
      </w:r>
      <w:r>
        <w:fldChar w:fldCharType="end"/>
      </w:r>
      <w:r>
        <w:rPr>
          <w:rFonts w:hint="default"/>
          <w:lang w:val="en-US" w:eastAsia="zh-CN"/>
        </w:rPr>
        <w:fldChar w:fldCharType="end"/>
      </w:r>
      <w:r>
        <w:rPr>
          <w:rFonts w:hint="eastAsia"/>
          <w:lang w:val="en-US" w:eastAsia="zh-CN"/>
        </w:rPr>
        <w:t>）</w:t>
      </w:r>
    </w:p>
    <w:p>
      <w:pPr>
        <w:pStyle w:val="16"/>
        <w:tabs>
          <w:tab w:val="right" w:leader="dot" w:pos="9462"/>
        </w:tabs>
      </w:pPr>
      <w:r>
        <w:rPr>
          <w:rFonts w:hint="default"/>
          <w:lang w:val="en-US" w:eastAsia="zh-CN"/>
        </w:rPr>
        <w:fldChar w:fldCharType="begin"/>
      </w:r>
      <w:r>
        <w:rPr>
          <w:rFonts w:hint="default"/>
          <w:lang w:val="en-US" w:eastAsia="zh-CN"/>
        </w:rPr>
        <w:instrText xml:space="preserve"> HYPERLINK \l _Toc19561 </w:instrText>
      </w:r>
      <w:r>
        <w:rPr>
          <w:rFonts w:hint="default"/>
          <w:lang w:val="en-US" w:eastAsia="zh-CN"/>
        </w:rPr>
        <w:fldChar w:fldCharType="separate"/>
      </w:r>
      <w:r>
        <w:rPr>
          <w:rFonts w:hint="eastAsia"/>
        </w:rPr>
        <w:t>原平市人民政府办公室</w:t>
      </w:r>
      <w:r>
        <w:rPr>
          <w:rFonts w:hint="default"/>
          <w:lang w:val="en-US" w:eastAsia="zh-CN"/>
        </w:rPr>
        <w:fldChar w:fldCharType="end"/>
      </w:r>
      <w:r>
        <w:rPr>
          <w:rFonts w:hint="default"/>
          <w:lang w:val="en-US" w:eastAsia="zh-CN"/>
        </w:rPr>
        <w:fldChar w:fldCharType="begin"/>
      </w:r>
      <w:r>
        <w:rPr>
          <w:rFonts w:hint="default"/>
          <w:lang w:val="en-US" w:eastAsia="zh-CN"/>
        </w:rPr>
        <w:instrText xml:space="preserve"> HYPERLINK \l _Toc16667 </w:instrText>
      </w:r>
      <w:r>
        <w:rPr>
          <w:rFonts w:hint="default"/>
          <w:lang w:val="en-US" w:eastAsia="zh-CN"/>
        </w:rPr>
        <w:fldChar w:fldCharType="separate"/>
      </w:r>
      <w:r>
        <w:rPr>
          <w:rFonts w:hint="eastAsia"/>
        </w:rPr>
        <w:t>关于进一步做好全市森林草原防灭火工作的</w:t>
      </w:r>
      <w:r>
        <w:rPr>
          <w:rFonts w:hint="default"/>
          <w:lang w:val="en-US" w:eastAsia="zh-CN"/>
        </w:rPr>
        <w:fldChar w:fldCharType="end"/>
      </w:r>
      <w:r>
        <w:rPr>
          <w:rFonts w:hint="default"/>
          <w:lang w:val="en-US" w:eastAsia="zh-CN"/>
        </w:rPr>
        <w:fldChar w:fldCharType="begin"/>
      </w:r>
      <w:r>
        <w:rPr>
          <w:rFonts w:hint="default"/>
          <w:lang w:val="en-US" w:eastAsia="zh-CN"/>
        </w:rPr>
        <w:instrText xml:space="preserve"> HYPERLINK \l _Toc17812 </w:instrText>
      </w:r>
      <w:r>
        <w:rPr>
          <w:rFonts w:hint="default"/>
          <w:lang w:val="en-US" w:eastAsia="zh-CN"/>
        </w:rPr>
        <w:fldChar w:fldCharType="separate"/>
      </w:r>
      <w:r>
        <w:rPr>
          <w:rFonts w:hint="eastAsia"/>
        </w:rPr>
        <w:t>通知</w:t>
      </w:r>
      <w:r>
        <w:rPr>
          <w:rFonts w:hint="default"/>
          <w:lang w:val="en-US" w:eastAsia="zh-CN"/>
        </w:rPr>
        <w:fldChar w:fldCharType="end"/>
      </w:r>
    </w:p>
    <w:p>
      <w:pPr>
        <w:pStyle w:val="17"/>
        <w:tabs>
          <w:tab w:val="right" w:leader="dot" w:pos="9462"/>
        </w:tabs>
      </w:pPr>
      <w:r>
        <w:rPr>
          <w:rFonts w:hint="default"/>
          <w:lang w:val="en-US" w:eastAsia="zh-CN"/>
        </w:rPr>
        <w:fldChar w:fldCharType="begin"/>
      </w:r>
      <w:r>
        <w:rPr>
          <w:rFonts w:hint="default"/>
          <w:lang w:val="en-US" w:eastAsia="zh-CN"/>
        </w:rPr>
        <w:instrText xml:space="preserve"> HYPERLINK \l _Toc1839 </w:instrText>
      </w:r>
      <w:r>
        <w:rPr>
          <w:rFonts w:hint="default"/>
          <w:lang w:val="en-US" w:eastAsia="zh-CN"/>
        </w:rPr>
        <w:fldChar w:fldCharType="separate"/>
      </w:r>
      <w:r>
        <w:rPr>
          <w:rFonts w:hint="eastAsia"/>
        </w:rPr>
        <w:t>原政办发〔</w:t>
      </w:r>
      <w:r>
        <w:t>2022</w:t>
      </w:r>
      <w:r>
        <w:rPr>
          <w:rFonts w:hint="eastAsia"/>
        </w:rPr>
        <w:t>〕36号</w:t>
      </w:r>
      <w:r>
        <w:tab/>
      </w:r>
      <w:r>
        <w:rPr>
          <w:rFonts w:hint="eastAsia"/>
          <w:lang w:eastAsia="zh-CN"/>
        </w:rPr>
        <w:t>（</w:t>
      </w:r>
      <w:r>
        <w:fldChar w:fldCharType="begin"/>
      </w:r>
      <w:r>
        <w:instrText xml:space="preserve"> PAGEREF _Toc1839 \h </w:instrText>
      </w:r>
      <w:r>
        <w:fldChar w:fldCharType="separate"/>
      </w:r>
      <w:r>
        <w:t>32</w:t>
      </w:r>
      <w:r>
        <w:fldChar w:fldCharType="end"/>
      </w:r>
      <w:r>
        <w:rPr>
          <w:rFonts w:hint="default"/>
          <w:lang w:val="en-US" w:eastAsia="zh-CN"/>
        </w:rPr>
        <w:fldChar w:fldCharType="end"/>
      </w:r>
      <w:r>
        <w:rPr>
          <w:rFonts w:hint="eastAsia"/>
          <w:lang w:val="en-US" w:eastAsia="zh-CN"/>
        </w:rPr>
        <w:t>）</w:t>
      </w:r>
    </w:p>
    <w:p>
      <w:pPr>
        <w:pStyle w:val="16"/>
        <w:tabs>
          <w:tab w:val="right" w:leader="dot" w:pos="9462"/>
        </w:tabs>
      </w:pPr>
      <w:r>
        <w:rPr>
          <w:rFonts w:hint="default"/>
          <w:lang w:val="en-US" w:eastAsia="zh-CN"/>
        </w:rPr>
        <w:fldChar w:fldCharType="begin"/>
      </w:r>
      <w:r>
        <w:rPr>
          <w:rFonts w:hint="default"/>
          <w:lang w:val="en-US" w:eastAsia="zh-CN"/>
        </w:rPr>
        <w:instrText xml:space="preserve"> HYPERLINK \l _Toc12604 </w:instrText>
      </w:r>
      <w:r>
        <w:rPr>
          <w:rFonts w:hint="default"/>
          <w:lang w:val="en-US" w:eastAsia="zh-CN"/>
        </w:rPr>
        <w:fldChar w:fldCharType="separate"/>
      </w:r>
      <w:r>
        <w:rPr>
          <w:rFonts w:hint="eastAsia"/>
        </w:rPr>
        <w:t>原平市人民政府办公室</w:t>
      </w:r>
      <w:r>
        <w:rPr>
          <w:rFonts w:hint="default"/>
          <w:lang w:val="en-US" w:eastAsia="zh-CN"/>
        </w:rPr>
        <w:fldChar w:fldCharType="end"/>
      </w:r>
      <w:r>
        <w:rPr>
          <w:rFonts w:hint="default"/>
          <w:lang w:val="en-US" w:eastAsia="zh-CN"/>
        </w:rPr>
        <w:fldChar w:fldCharType="begin"/>
      </w:r>
      <w:r>
        <w:rPr>
          <w:rFonts w:hint="default"/>
          <w:lang w:val="en-US" w:eastAsia="zh-CN"/>
        </w:rPr>
        <w:instrText xml:space="preserve"> HYPERLINK \l _Toc4780 </w:instrText>
      </w:r>
      <w:r>
        <w:rPr>
          <w:rFonts w:hint="default"/>
          <w:lang w:val="en-US" w:eastAsia="zh-CN"/>
        </w:rPr>
        <w:fldChar w:fldCharType="separate"/>
      </w:r>
      <w:r>
        <w:rPr>
          <w:rFonts w:hint="eastAsia"/>
        </w:rPr>
        <w:t>关于印发原平市爱木图古村落文化休闲生态</w:t>
      </w:r>
      <w:r>
        <w:rPr>
          <w:rFonts w:hint="default"/>
          <w:lang w:val="en-US" w:eastAsia="zh-CN"/>
        </w:rPr>
        <w:fldChar w:fldCharType="end"/>
      </w:r>
      <w:r>
        <w:rPr>
          <w:rFonts w:hint="default"/>
          <w:lang w:val="en-US" w:eastAsia="zh-CN"/>
        </w:rPr>
        <w:fldChar w:fldCharType="begin"/>
      </w:r>
      <w:r>
        <w:rPr>
          <w:rFonts w:hint="default"/>
          <w:lang w:val="en-US" w:eastAsia="zh-CN"/>
        </w:rPr>
        <w:instrText xml:space="preserve"> HYPERLINK \l _Toc2820 </w:instrText>
      </w:r>
      <w:r>
        <w:rPr>
          <w:rFonts w:hint="default"/>
          <w:lang w:val="en-US" w:eastAsia="zh-CN"/>
        </w:rPr>
        <w:fldChar w:fldCharType="separate"/>
      </w:r>
      <w:r>
        <w:rPr>
          <w:rFonts w:hint="eastAsia"/>
        </w:rPr>
        <w:t>旅游乡村e镇实施方案的通知</w:t>
      </w:r>
      <w:r>
        <w:rPr>
          <w:rFonts w:hint="default"/>
          <w:lang w:val="en-US" w:eastAsia="zh-CN"/>
        </w:rPr>
        <w:fldChar w:fldCharType="end"/>
      </w:r>
    </w:p>
    <w:p>
      <w:pPr>
        <w:pStyle w:val="17"/>
        <w:tabs>
          <w:tab w:val="right" w:leader="dot" w:pos="9462"/>
        </w:tabs>
      </w:pPr>
      <w:r>
        <w:rPr>
          <w:rFonts w:hint="default"/>
          <w:lang w:val="en-US" w:eastAsia="zh-CN"/>
        </w:rPr>
        <w:fldChar w:fldCharType="begin"/>
      </w:r>
      <w:r>
        <w:rPr>
          <w:rFonts w:hint="default"/>
          <w:lang w:val="en-US" w:eastAsia="zh-CN"/>
        </w:rPr>
        <w:instrText xml:space="preserve"> HYPERLINK \l _Toc22964 </w:instrText>
      </w:r>
      <w:r>
        <w:rPr>
          <w:rFonts w:hint="default"/>
          <w:lang w:val="en-US" w:eastAsia="zh-CN"/>
        </w:rPr>
        <w:fldChar w:fldCharType="separate"/>
      </w:r>
      <w:r>
        <w:rPr>
          <w:rFonts w:hint="eastAsia"/>
        </w:rPr>
        <w:t>原政办发〔</w:t>
      </w:r>
      <w:r>
        <w:t>202</w:t>
      </w:r>
      <w:r>
        <w:rPr>
          <w:rFonts w:hint="eastAsia"/>
        </w:rPr>
        <w:t>2〕37号</w:t>
      </w:r>
      <w:r>
        <w:tab/>
      </w:r>
      <w:r>
        <w:rPr>
          <w:rFonts w:hint="eastAsia"/>
          <w:lang w:eastAsia="zh-CN"/>
        </w:rPr>
        <w:t>（</w:t>
      </w:r>
      <w:r>
        <w:fldChar w:fldCharType="begin"/>
      </w:r>
      <w:r>
        <w:instrText xml:space="preserve"> PAGEREF _Toc22964 \h </w:instrText>
      </w:r>
      <w:r>
        <w:fldChar w:fldCharType="separate"/>
      </w:r>
      <w:r>
        <w:t>34</w:t>
      </w:r>
      <w:r>
        <w:fldChar w:fldCharType="end"/>
      </w:r>
      <w:r>
        <w:rPr>
          <w:rFonts w:hint="default"/>
          <w:lang w:val="en-US" w:eastAsia="zh-CN"/>
        </w:rPr>
        <w:fldChar w:fldCharType="end"/>
      </w:r>
      <w:r>
        <w:rPr>
          <w:rFonts w:hint="eastAsia"/>
          <w:lang w:val="en-US" w:eastAsia="zh-CN"/>
        </w:rPr>
        <w:t>）</w:t>
      </w:r>
    </w:p>
    <w:p>
      <w:pPr>
        <w:pStyle w:val="16"/>
        <w:tabs>
          <w:tab w:val="right" w:leader="dot" w:pos="9462"/>
        </w:tabs>
      </w:pPr>
      <w:r>
        <w:rPr>
          <w:rFonts w:hint="default"/>
          <w:lang w:val="en-US" w:eastAsia="zh-CN"/>
        </w:rPr>
        <w:fldChar w:fldCharType="begin"/>
      </w:r>
      <w:r>
        <w:rPr>
          <w:rFonts w:hint="default"/>
          <w:lang w:val="en-US" w:eastAsia="zh-CN"/>
        </w:rPr>
        <w:instrText xml:space="preserve"> HYPERLINK \l _Toc23913 </w:instrText>
      </w:r>
      <w:r>
        <w:rPr>
          <w:rFonts w:hint="default"/>
          <w:lang w:val="en-US" w:eastAsia="zh-CN"/>
        </w:rPr>
        <w:fldChar w:fldCharType="separate"/>
      </w:r>
      <w:r>
        <w:rPr>
          <w:rFonts w:hint="eastAsia"/>
        </w:rPr>
        <w:t>原平市人民政府办公室</w:t>
      </w:r>
      <w:r>
        <w:rPr>
          <w:rFonts w:hint="default"/>
          <w:lang w:val="en-US" w:eastAsia="zh-CN"/>
        </w:rPr>
        <w:fldChar w:fldCharType="end"/>
      </w:r>
      <w:r>
        <w:rPr>
          <w:rFonts w:hint="default"/>
          <w:lang w:val="en-US" w:eastAsia="zh-CN"/>
        </w:rPr>
        <w:fldChar w:fldCharType="begin"/>
      </w:r>
      <w:r>
        <w:rPr>
          <w:rFonts w:hint="default"/>
          <w:lang w:val="en-US" w:eastAsia="zh-CN"/>
        </w:rPr>
        <w:instrText xml:space="preserve"> HYPERLINK \l _Toc32300 </w:instrText>
      </w:r>
      <w:r>
        <w:rPr>
          <w:rFonts w:hint="default"/>
          <w:lang w:val="en-US" w:eastAsia="zh-CN"/>
        </w:rPr>
        <w:fldChar w:fldCharType="separate"/>
      </w:r>
      <w:r>
        <w:rPr>
          <w:rFonts w:hint="eastAsia"/>
        </w:rPr>
        <w:t>关于印发原平市发展庭院经济助力乡村振兴</w:t>
      </w:r>
      <w:r>
        <w:rPr>
          <w:rFonts w:hint="default"/>
          <w:lang w:val="en-US" w:eastAsia="zh-CN"/>
        </w:rPr>
        <w:fldChar w:fldCharType="end"/>
      </w:r>
      <w:r>
        <w:rPr>
          <w:rFonts w:hint="default"/>
          <w:lang w:val="en-US" w:eastAsia="zh-CN"/>
        </w:rPr>
        <w:fldChar w:fldCharType="begin"/>
      </w:r>
      <w:r>
        <w:rPr>
          <w:rFonts w:hint="default"/>
          <w:lang w:val="en-US" w:eastAsia="zh-CN"/>
        </w:rPr>
        <w:instrText xml:space="preserve"> HYPERLINK \l _Toc26287 </w:instrText>
      </w:r>
      <w:r>
        <w:rPr>
          <w:rFonts w:hint="default"/>
          <w:lang w:val="en-US" w:eastAsia="zh-CN"/>
        </w:rPr>
        <w:fldChar w:fldCharType="separate"/>
      </w:r>
      <w:r>
        <w:rPr>
          <w:rFonts w:hint="eastAsia"/>
        </w:rPr>
        <w:t>实施方案的通知</w:t>
      </w:r>
      <w:r>
        <w:rPr>
          <w:rFonts w:hint="default"/>
          <w:lang w:val="en-US" w:eastAsia="zh-CN"/>
        </w:rPr>
        <w:fldChar w:fldCharType="end"/>
      </w:r>
    </w:p>
    <w:p>
      <w:pPr>
        <w:pStyle w:val="17"/>
        <w:tabs>
          <w:tab w:val="right" w:leader="dot" w:pos="9462"/>
        </w:tabs>
      </w:pPr>
      <w:r>
        <w:rPr>
          <w:rFonts w:hint="default"/>
          <w:lang w:val="en-US" w:eastAsia="zh-CN"/>
        </w:rPr>
        <w:fldChar w:fldCharType="begin"/>
      </w:r>
      <w:r>
        <w:rPr>
          <w:rFonts w:hint="default"/>
          <w:lang w:val="en-US" w:eastAsia="zh-CN"/>
        </w:rPr>
        <w:instrText xml:space="preserve"> HYPERLINK \l _Toc8559 </w:instrText>
      </w:r>
      <w:r>
        <w:rPr>
          <w:rFonts w:hint="default"/>
          <w:lang w:val="en-US" w:eastAsia="zh-CN"/>
        </w:rPr>
        <w:fldChar w:fldCharType="separate"/>
      </w:r>
      <w:r>
        <w:rPr>
          <w:rFonts w:hint="eastAsia"/>
        </w:rPr>
        <w:t>原政办发〔</w:t>
      </w:r>
      <w:r>
        <w:t>202</w:t>
      </w:r>
      <w:r>
        <w:rPr>
          <w:rFonts w:hint="eastAsia"/>
        </w:rPr>
        <w:t>2〕38号</w:t>
      </w:r>
      <w:r>
        <w:tab/>
      </w:r>
      <w:r>
        <w:rPr>
          <w:rFonts w:hint="eastAsia"/>
          <w:lang w:eastAsia="zh-CN"/>
        </w:rPr>
        <w:t>（</w:t>
      </w:r>
      <w:r>
        <w:fldChar w:fldCharType="begin"/>
      </w:r>
      <w:r>
        <w:instrText xml:space="preserve"> PAGEREF _Toc8559 \h </w:instrText>
      </w:r>
      <w:r>
        <w:fldChar w:fldCharType="separate"/>
      </w:r>
      <w:r>
        <w:t>44</w:t>
      </w:r>
      <w:r>
        <w:fldChar w:fldCharType="end"/>
      </w:r>
      <w:r>
        <w:rPr>
          <w:rFonts w:hint="default"/>
          <w:lang w:val="en-US" w:eastAsia="zh-CN"/>
        </w:rPr>
        <w:fldChar w:fldCharType="end"/>
      </w:r>
      <w:r>
        <w:rPr>
          <w:rFonts w:hint="eastAsia"/>
          <w:lang w:val="en-US" w:eastAsia="zh-CN"/>
        </w:rPr>
        <w:t>）</w:t>
      </w:r>
    </w:p>
    <w:p>
      <w:pPr>
        <w:pStyle w:val="16"/>
        <w:tabs>
          <w:tab w:val="right" w:leader="dot" w:pos="9462"/>
        </w:tabs>
      </w:pPr>
      <w:r>
        <w:rPr>
          <w:rFonts w:hint="default"/>
          <w:lang w:val="en-US" w:eastAsia="zh-CN"/>
        </w:rPr>
        <w:fldChar w:fldCharType="begin"/>
      </w:r>
      <w:r>
        <w:rPr>
          <w:rFonts w:hint="default"/>
          <w:lang w:val="en-US" w:eastAsia="zh-CN"/>
        </w:rPr>
        <w:instrText xml:space="preserve"> HYPERLINK \l _Toc22088 </w:instrText>
      </w:r>
      <w:r>
        <w:rPr>
          <w:rFonts w:hint="default"/>
          <w:lang w:val="en-US" w:eastAsia="zh-CN"/>
        </w:rPr>
        <w:fldChar w:fldCharType="separate"/>
      </w:r>
      <w:r>
        <w:rPr>
          <w:rFonts w:hint="eastAsia"/>
        </w:rPr>
        <w:t>原平市人民政府办公室</w:t>
      </w:r>
      <w:r>
        <w:rPr>
          <w:rFonts w:hint="default"/>
          <w:lang w:val="en-US" w:eastAsia="zh-CN"/>
        </w:rPr>
        <w:fldChar w:fldCharType="end"/>
      </w:r>
      <w:r>
        <w:rPr>
          <w:rFonts w:hint="default"/>
          <w:lang w:val="en-US" w:eastAsia="zh-CN"/>
        </w:rPr>
        <w:fldChar w:fldCharType="begin"/>
      </w:r>
      <w:r>
        <w:rPr>
          <w:rFonts w:hint="default"/>
          <w:lang w:val="en-US" w:eastAsia="zh-CN"/>
        </w:rPr>
        <w:instrText xml:space="preserve"> HYPERLINK \l _Toc675 </w:instrText>
      </w:r>
      <w:r>
        <w:rPr>
          <w:rFonts w:hint="default"/>
          <w:lang w:val="en-US" w:eastAsia="zh-CN"/>
        </w:rPr>
        <w:fldChar w:fldCharType="separate"/>
      </w:r>
      <w:r>
        <w:rPr>
          <w:rFonts w:hint="eastAsia"/>
        </w:rPr>
        <w:t>关于印发原平市加强和改进住宅物业管理工作</w:t>
      </w:r>
      <w:r>
        <w:rPr>
          <w:rFonts w:hint="default"/>
          <w:lang w:val="en-US" w:eastAsia="zh-CN"/>
        </w:rPr>
        <w:fldChar w:fldCharType="end"/>
      </w:r>
      <w:r>
        <w:rPr>
          <w:rFonts w:hint="default"/>
          <w:lang w:val="en-US" w:eastAsia="zh-CN"/>
        </w:rPr>
        <w:fldChar w:fldCharType="begin"/>
      </w:r>
      <w:r>
        <w:rPr>
          <w:rFonts w:hint="default"/>
          <w:lang w:val="en-US" w:eastAsia="zh-CN"/>
        </w:rPr>
        <w:instrText xml:space="preserve"> HYPERLINK \l _Toc28241 </w:instrText>
      </w:r>
      <w:r>
        <w:rPr>
          <w:rFonts w:hint="default"/>
          <w:lang w:val="en-US" w:eastAsia="zh-CN"/>
        </w:rPr>
        <w:fldChar w:fldCharType="separate"/>
      </w:r>
      <w:r>
        <w:rPr>
          <w:rFonts w:hint="eastAsia"/>
        </w:rPr>
        <w:t>三年行动计划的通知</w:t>
      </w:r>
      <w:r>
        <w:rPr>
          <w:rFonts w:hint="default"/>
          <w:lang w:val="en-US" w:eastAsia="zh-CN"/>
        </w:rPr>
        <w:fldChar w:fldCharType="end"/>
      </w:r>
    </w:p>
    <w:p>
      <w:pPr>
        <w:pStyle w:val="17"/>
        <w:tabs>
          <w:tab w:val="right" w:leader="dot" w:pos="9462"/>
        </w:tabs>
      </w:pPr>
      <w:r>
        <w:rPr>
          <w:rFonts w:hint="default"/>
          <w:lang w:val="en-US" w:eastAsia="zh-CN"/>
        </w:rPr>
        <w:fldChar w:fldCharType="begin"/>
      </w:r>
      <w:r>
        <w:rPr>
          <w:rFonts w:hint="default"/>
          <w:lang w:val="en-US" w:eastAsia="zh-CN"/>
        </w:rPr>
        <w:instrText xml:space="preserve"> HYPERLINK \l _Toc9400 </w:instrText>
      </w:r>
      <w:r>
        <w:rPr>
          <w:rFonts w:hint="default"/>
          <w:lang w:val="en-US" w:eastAsia="zh-CN"/>
        </w:rPr>
        <w:fldChar w:fldCharType="separate"/>
      </w:r>
      <w:r>
        <w:rPr>
          <w:rFonts w:hint="eastAsia"/>
        </w:rPr>
        <w:t>原政办发〔2022〕39号</w:t>
      </w:r>
      <w:r>
        <w:tab/>
      </w:r>
      <w:r>
        <w:rPr>
          <w:rFonts w:hint="eastAsia"/>
          <w:lang w:eastAsia="zh-CN"/>
        </w:rPr>
        <w:t>（</w:t>
      </w:r>
      <w:r>
        <w:fldChar w:fldCharType="begin"/>
      </w:r>
      <w:r>
        <w:instrText xml:space="preserve"> PAGEREF _Toc9400 \h </w:instrText>
      </w:r>
      <w:r>
        <w:fldChar w:fldCharType="separate"/>
      </w:r>
      <w:r>
        <w:t>48</w:t>
      </w:r>
      <w:r>
        <w:fldChar w:fldCharType="end"/>
      </w:r>
      <w:r>
        <w:rPr>
          <w:rFonts w:hint="default"/>
          <w:lang w:val="en-US" w:eastAsia="zh-CN"/>
        </w:rPr>
        <w:fldChar w:fldCharType="end"/>
      </w:r>
      <w:r>
        <w:rPr>
          <w:rFonts w:hint="eastAsia"/>
          <w:lang w:val="en-US" w:eastAsia="zh-CN"/>
        </w:rPr>
        <w:t>）</w:t>
      </w:r>
    </w:p>
    <w:p>
      <w:pPr>
        <w:pStyle w:val="16"/>
        <w:tabs>
          <w:tab w:val="right" w:leader="dot" w:pos="9462"/>
        </w:tabs>
      </w:pPr>
      <w:r>
        <w:rPr>
          <w:rFonts w:hint="default"/>
          <w:lang w:val="en-US" w:eastAsia="zh-CN"/>
        </w:rPr>
        <w:fldChar w:fldCharType="begin"/>
      </w:r>
      <w:r>
        <w:rPr>
          <w:rFonts w:hint="default"/>
          <w:lang w:val="en-US" w:eastAsia="zh-CN"/>
        </w:rPr>
        <w:instrText xml:space="preserve"> HYPERLINK \l _Toc29211 </w:instrText>
      </w:r>
      <w:r>
        <w:rPr>
          <w:rFonts w:hint="default"/>
          <w:lang w:val="en-US" w:eastAsia="zh-CN"/>
        </w:rPr>
        <w:fldChar w:fldCharType="separate"/>
      </w:r>
      <w:r>
        <w:rPr>
          <w:rFonts w:hint="eastAsia"/>
        </w:rPr>
        <w:t>原平市人民政府办公室</w:t>
      </w:r>
      <w:r>
        <w:rPr>
          <w:rFonts w:hint="default"/>
          <w:lang w:val="en-US" w:eastAsia="zh-CN"/>
        </w:rPr>
        <w:fldChar w:fldCharType="end"/>
      </w:r>
      <w:r>
        <w:rPr>
          <w:rFonts w:hint="default"/>
          <w:lang w:val="en-US" w:eastAsia="zh-CN"/>
        </w:rPr>
        <w:fldChar w:fldCharType="begin"/>
      </w:r>
      <w:r>
        <w:rPr>
          <w:rFonts w:hint="default"/>
          <w:lang w:val="en-US" w:eastAsia="zh-CN"/>
        </w:rPr>
        <w:instrText xml:space="preserve"> HYPERLINK \l _Toc24922 </w:instrText>
      </w:r>
      <w:r>
        <w:rPr>
          <w:rFonts w:hint="default"/>
          <w:lang w:val="en-US" w:eastAsia="zh-CN"/>
        </w:rPr>
        <w:fldChar w:fldCharType="separate"/>
      </w:r>
      <w:r>
        <w:rPr>
          <w:rFonts w:hint="eastAsia"/>
        </w:rPr>
        <w:t>关于成立原平市节约能源工作领导小组的通知</w:t>
      </w:r>
      <w:r>
        <w:rPr>
          <w:rFonts w:hint="default"/>
          <w:lang w:val="en-US" w:eastAsia="zh-CN"/>
        </w:rPr>
        <w:fldChar w:fldCharType="end"/>
      </w:r>
    </w:p>
    <w:p>
      <w:pPr>
        <w:pStyle w:val="17"/>
        <w:tabs>
          <w:tab w:val="right" w:leader="dot" w:pos="9462"/>
        </w:tabs>
      </w:pPr>
      <w:r>
        <w:rPr>
          <w:rFonts w:hint="default"/>
          <w:lang w:val="en-US" w:eastAsia="zh-CN"/>
        </w:rPr>
        <w:fldChar w:fldCharType="begin"/>
      </w:r>
      <w:r>
        <w:rPr>
          <w:rFonts w:hint="default"/>
          <w:lang w:val="en-US" w:eastAsia="zh-CN"/>
        </w:rPr>
        <w:instrText xml:space="preserve"> HYPERLINK \l _Toc20955 </w:instrText>
      </w:r>
      <w:r>
        <w:rPr>
          <w:rFonts w:hint="default"/>
          <w:lang w:val="en-US" w:eastAsia="zh-CN"/>
        </w:rPr>
        <w:fldChar w:fldCharType="separate"/>
      </w:r>
      <w:r>
        <w:rPr>
          <w:rFonts w:hint="eastAsia"/>
        </w:rPr>
        <w:t>原政办函〔</w:t>
      </w:r>
      <w:r>
        <w:t>202</w:t>
      </w:r>
      <w:r>
        <w:rPr>
          <w:rFonts w:hint="eastAsia"/>
        </w:rPr>
        <w:t>2〕21号</w:t>
      </w:r>
      <w:r>
        <w:tab/>
      </w:r>
      <w:r>
        <w:rPr>
          <w:rFonts w:hint="eastAsia"/>
          <w:lang w:eastAsia="zh-CN"/>
        </w:rPr>
        <w:t>（</w:t>
      </w:r>
      <w:r>
        <w:fldChar w:fldCharType="begin"/>
      </w:r>
      <w:r>
        <w:instrText xml:space="preserve"> PAGEREF _Toc20955 \h </w:instrText>
      </w:r>
      <w:r>
        <w:fldChar w:fldCharType="separate"/>
      </w:r>
      <w:r>
        <w:t>59</w:t>
      </w:r>
      <w:r>
        <w:fldChar w:fldCharType="end"/>
      </w:r>
      <w:r>
        <w:rPr>
          <w:rFonts w:hint="default"/>
          <w:lang w:val="en-US" w:eastAsia="zh-CN"/>
        </w:rPr>
        <w:fldChar w:fldCharType="end"/>
      </w:r>
      <w:r>
        <w:rPr>
          <w:rFonts w:hint="eastAsia"/>
          <w:lang w:val="en-US" w:eastAsia="zh-CN"/>
        </w:rPr>
        <w:t>）</w:t>
      </w:r>
    </w:p>
    <w:p>
      <w:pPr>
        <w:pStyle w:val="16"/>
        <w:tabs>
          <w:tab w:val="right" w:leader="dot" w:pos="9462"/>
        </w:tabs>
      </w:pPr>
      <w:r>
        <w:rPr>
          <w:rFonts w:hint="default"/>
          <w:lang w:val="en-US" w:eastAsia="zh-CN"/>
        </w:rPr>
        <w:fldChar w:fldCharType="begin"/>
      </w:r>
      <w:r>
        <w:rPr>
          <w:rFonts w:hint="default"/>
          <w:lang w:val="en-US" w:eastAsia="zh-CN"/>
        </w:rPr>
        <w:instrText xml:space="preserve"> HYPERLINK \l _Toc14417 </w:instrText>
      </w:r>
      <w:r>
        <w:rPr>
          <w:rFonts w:hint="default"/>
          <w:lang w:val="en-US" w:eastAsia="zh-CN"/>
        </w:rPr>
        <w:fldChar w:fldCharType="separate"/>
      </w:r>
      <w:r>
        <w:rPr>
          <w:rFonts w:hint="eastAsia"/>
        </w:rPr>
        <w:t>原平市人民政府办公室</w:t>
      </w:r>
      <w:r>
        <w:rPr>
          <w:rFonts w:hint="default"/>
          <w:lang w:val="en-US" w:eastAsia="zh-CN"/>
        </w:rPr>
        <w:fldChar w:fldCharType="end"/>
      </w:r>
      <w:r>
        <w:rPr>
          <w:rFonts w:hint="default"/>
          <w:lang w:val="en-US" w:eastAsia="zh-CN"/>
        </w:rPr>
        <w:fldChar w:fldCharType="begin"/>
      </w:r>
      <w:r>
        <w:rPr>
          <w:rFonts w:hint="default"/>
          <w:lang w:val="en-US" w:eastAsia="zh-CN"/>
        </w:rPr>
        <w:instrText xml:space="preserve"> HYPERLINK \l _Toc17649 </w:instrText>
      </w:r>
      <w:r>
        <w:rPr>
          <w:rFonts w:hint="default"/>
          <w:lang w:val="en-US" w:eastAsia="zh-CN"/>
        </w:rPr>
        <w:fldChar w:fldCharType="separate"/>
      </w:r>
      <w:r>
        <w:rPr>
          <w:rFonts w:hint="eastAsia"/>
        </w:rPr>
        <w:t>关于成立原平市中医医院二期工程PPP项目</w:t>
      </w:r>
      <w:r>
        <w:rPr>
          <w:rFonts w:hint="default"/>
          <w:lang w:val="en-US" w:eastAsia="zh-CN"/>
        </w:rPr>
        <w:fldChar w:fldCharType="end"/>
      </w:r>
      <w:r>
        <w:rPr>
          <w:rFonts w:hint="default"/>
          <w:lang w:val="en-US" w:eastAsia="zh-CN"/>
        </w:rPr>
        <w:fldChar w:fldCharType="begin"/>
      </w:r>
      <w:r>
        <w:rPr>
          <w:rFonts w:hint="default"/>
          <w:lang w:val="en-US" w:eastAsia="zh-CN"/>
        </w:rPr>
        <w:instrText xml:space="preserve"> HYPERLINK \l _Toc26420 </w:instrText>
      </w:r>
      <w:r>
        <w:rPr>
          <w:rFonts w:hint="default"/>
          <w:lang w:val="en-US" w:eastAsia="zh-CN"/>
        </w:rPr>
        <w:fldChar w:fldCharType="separate"/>
      </w:r>
      <w:r>
        <w:rPr>
          <w:rFonts w:hint="eastAsia"/>
        </w:rPr>
        <w:t>工作领导小组的通知</w:t>
      </w:r>
      <w:r>
        <w:rPr>
          <w:rFonts w:hint="default"/>
          <w:lang w:val="en-US" w:eastAsia="zh-CN"/>
        </w:rPr>
        <w:fldChar w:fldCharType="end"/>
      </w:r>
    </w:p>
    <w:p>
      <w:pPr>
        <w:pStyle w:val="17"/>
        <w:tabs>
          <w:tab w:val="right" w:leader="dot" w:pos="9462"/>
        </w:tabs>
      </w:pPr>
      <w:r>
        <w:rPr>
          <w:rFonts w:hint="default"/>
          <w:lang w:val="en-US" w:eastAsia="zh-CN"/>
        </w:rPr>
        <w:fldChar w:fldCharType="begin"/>
      </w:r>
      <w:r>
        <w:rPr>
          <w:rFonts w:hint="default"/>
          <w:lang w:val="en-US" w:eastAsia="zh-CN"/>
        </w:rPr>
        <w:instrText xml:space="preserve"> HYPERLINK \l _Toc20338 </w:instrText>
      </w:r>
      <w:r>
        <w:rPr>
          <w:rFonts w:hint="default"/>
          <w:lang w:val="en-US" w:eastAsia="zh-CN"/>
        </w:rPr>
        <w:fldChar w:fldCharType="separate"/>
      </w:r>
      <w:r>
        <w:rPr>
          <w:rFonts w:hint="eastAsia"/>
        </w:rPr>
        <w:t>原政办函〔</w:t>
      </w:r>
      <w:r>
        <w:t>202</w:t>
      </w:r>
      <w:r>
        <w:rPr>
          <w:rFonts w:hint="eastAsia"/>
        </w:rPr>
        <w:t>2〕23号</w:t>
      </w:r>
      <w:r>
        <w:tab/>
      </w:r>
      <w:r>
        <w:rPr>
          <w:rFonts w:hint="eastAsia"/>
          <w:lang w:eastAsia="zh-CN"/>
        </w:rPr>
        <w:t>（</w:t>
      </w:r>
      <w:r>
        <w:fldChar w:fldCharType="begin"/>
      </w:r>
      <w:r>
        <w:instrText xml:space="preserve"> PAGEREF _Toc20338 \h </w:instrText>
      </w:r>
      <w:r>
        <w:fldChar w:fldCharType="separate"/>
      </w:r>
      <w:r>
        <w:t>60</w:t>
      </w:r>
      <w:r>
        <w:fldChar w:fldCharType="end"/>
      </w:r>
      <w:r>
        <w:rPr>
          <w:rFonts w:hint="default"/>
          <w:lang w:val="en-US" w:eastAsia="zh-CN"/>
        </w:rPr>
        <w:fldChar w:fldCharType="end"/>
      </w:r>
      <w:r>
        <w:rPr>
          <w:rFonts w:hint="eastAsia"/>
          <w:lang w:val="en-US" w:eastAsia="zh-CN"/>
        </w:rPr>
        <w:t>）</w:t>
      </w:r>
    </w:p>
    <w:p>
      <w:pPr>
        <w:pStyle w:val="16"/>
        <w:tabs>
          <w:tab w:val="right" w:leader="dot" w:pos="9462"/>
        </w:tabs>
        <w:rPr>
          <w:rFonts w:hint="default"/>
          <w:lang w:val="en-US" w:eastAsia="zh-CN"/>
        </w:rPr>
      </w:pPr>
    </w:p>
    <w:p>
      <w:pPr>
        <w:pStyle w:val="16"/>
        <w:tabs>
          <w:tab w:val="right" w:leader="dot" w:pos="9462"/>
        </w:tabs>
      </w:pPr>
      <w:r>
        <w:rPr>
          <w:rFonts w:hint="default"/>
          <w:lang w:val="en-US" w:eastAsia="zh-CN"/>
        </w:rPr>
        <w:fldChar w:fldCharType="begin"/>
      </w:r>
      <w:r>
        <w:rPr>
          <w:rFonts w:hint="default"/>
          <w:lang w:val="en-US" w:eastAsia="zh-CN"/>
        </w:rPr>
        <w:instrText xml:space="preserve"> HYPERLINK \l _Toc29524 </w:instrText>
      </w:r>
      <w:r>
        <w:rPr>
          <w:rFonts w:hint="default"/>
          <w:lang w:val="en-US" w:eastAsia="zh-CN"/>
        </w:rPr>
        <w:fldChar w:fldCharType="separate"/>
      </w:r>
      <w:r>
        <w:rPr>
          <w:rFonts w:hint="eastAsia"/>
        </w:rPr>
        <w:t>原平市人民政府办公室</w:t>
      </w:r>
      <w:r>
        <w:rPr>
          <w:rFonts w:hint="default"/>
          <w:lang w:val="en-US" w:eastAsia="zh-CN"/>
        </w:rPr>
        <w:fldChar w:fldCharType="end"/>
      </w:r>
      <w:r>
        <w:rPr>
          <w:rFonts w:hint="default"/>
          <w:lang w:val="en-US" w:eastAsia="zh-CN"/>
        </w:rPr>
        <w:fldChar w:fldCharType="begin"/>
      </w:r>
      <w:r>
        <w:rPr>
          <w:rFonts w:hint="default"/>
          <w:lang w:val="en-US" w:eastAsia="zh-CN"/>
        </w:rPr>
        <w:instrText xml:space="preserve"> HYPERLINK \l _Toc21707 </w:instrText>
      </w:r>
      <w:r>
        <w:rPr>
          <w:rFonts w:hint="default"/>
          <w:lang w:val="en-US" w:eastAsia="zh-CN"/>
        </w:rPr>
        <w:fldChar w:fldCharType="separate"/>
      </w:r>
      <w:r>
        <w:rPr>
          <w:rFonts w:hint="eastAsia"/>
        </w:rPr>
        <w:t>关于成立推进县域义务教育优质均衡发展</w:t>
      </w:r>
      <w:r>
        <w:rPr>
          <w:rFonts w:hint="default"/>
          <w:lang w:val="en-US" w:eastAsia="zh-CN"/>
        </w:rPr>
        <w:fldChar w:fldCharType="end"/>
      </w:r>
      <w:r>
        <w:rPr>
          <w:rFonts w:hint="default"/>
          <w:lang w:val="en-US" w:eastAsia="zh-CN"/>
        </w:rPr>
        <w:fldChar w:fldCharType="begin"/>
      </w:r>
      <w:r>
        <w:rPr>
          <w:rFonts w:hint="default"/>
          <w:lang w:val="en-US" w:eastAsia="zh-CN"/>
        </w:rPr>
        <w:instrText xml:space="preserve"> HYPERLINK \l _Toc24641 </w:instrText>
      </w:r>
      <w:r>
        <w:rPr>
          <w:rFonts w:hint="default"/>
          <w:lang w:val="en-US" w:eastAsia="zh-CN"/>
        </w:rPr>
        <w:fldChar w:fldCharType="separate"/>
      </w:r>
      <w:r>
        <w:rPr>
          <w:rFonts w:hint="eastAsia"/>
        </w:rPr>
        <w:t>工作专班的通知</w:t>
      </w:r>
      <w:r>
        <w:rPr>
          <w:rFonts w:hint="default"/>
          <w:lang w:val="en-US" w:eastAsia="zh-CN"/>
        </w:rPr>
        <w:fldChar w:fldCharType="end"/>
      </w:r>
    </w:p>
    <w:p>
      <w:pPr>
        <w:pStyle w:val="17"/>
        <w:tabs>
          <w:tab w:val="right" w:leader="dot" w:pos="9462"/>
        </w:tabs>
      </w:pPr>
      <w:r>
        <w:rPr>
          <w:rFonts w:hint="default"/>
          <w:lang w:val="en-US" w:eastAsia="zh-CN"/>
        </w:rPr>
        <w:fldChar w:fldCharType="begin"/>
      </w:r>
      <w:r>
        <w:rPr>
          <w:rFonts w:hint="default"/>
          <w:lang w:val="en-US" w:eastAsia="zh-CN"/>
        </w:rPr>
        <w:instrText xml:space="preserve"> HYPERLINK \l _Toc10427 </w:instrText>
      </w:r>
      <w:r>
        <w:rPr>
          <w:rFonts w:hint="default"/>
          <w:lang w:val="en-US" w:eastAsia="zh-CN"/>
        </w:rPr>
        <w:fldChar w:fldCharType="separate"/>
      </w:r>
      <w:r>
        <w:rPr>
          <w:rFonts w:hint="eastAsia"/>
        </w:rPr>
        <w:t>原政办函〔2022〕25号</w:t>
      </w:r>
      <w:r>
        <w:tab/>
      </w:r>
      <w:r>
        <w:rPr>
          <w:rFonts w:hint="eastAsia"/>
          <w:lang w:eastAsia="zh-CN"/>
        </w:rPr>
        <w:t>（</w:t>
      </w:r>
      <w:r>
        <w:fldChar w:fldCharType="begin"/>
      </w:r>
      <w:r>
        <w:instrText xml:space="preserve"> PAGEREF _Toc10427 \h </w:instrText>
      </w:r>
      <w:r>
        <w:fldChar w:fldCharType="separate"/>
      </w:r>
      <w:r>
        <w:t>61</w:t>
      </w:r>
      <w:r>
        <w:fldChar w:fldCharType="end"/>
      </w:r>
      <w:r>
        <w:rPr>
          <w:rFonts w:hint="default"/>
          <w:lang w:val="en-US" w:eastAsia="zh-CN"/>
        </w:rPr>
        <w:fldChar w:fldCharType="end"/>
      </w:r>
      <w:r>
        <w:rPr>
          <w:rFonts w:hint="eastAsia"/>
          <w:lang w:val="en-US" w:eastAsia="zh-CN"/>
        </w:rPr>
        <w:t>）</w:t>
      </w:r>
    </w:p>
    <w:p>
      <w:pPr>
        <w:pStyle w:val="37"/>
        <w:bidi w:val="0"/>
        <w:rPr>
          <w:rFonts w:hint="eastAsia"/>
          <w:lang w:val="en-US" w:eastAsia="zh-CN"/>
        </w:rPr>
      </w:pPr>
    </w:p>
    <w:p>
      <w:pPr>
        <w:pStyle w:val="37"/>
        <w:bidi w:val="0"/>
        <w:rPr>
          <w:rFonts w:hint="eastAsia"/>
          <w:lang w:val="en-US" w:eastAsia="zh-CN"/>
        </w:rPr>
      </w:pPr>
      <w:r>
        <w:rPr>
          <w:rFonts w:hint="eastAsia"/>
          <w:lang w:val="en-US" w:eastAsia="zh-CN"/>
        </w:rPr>
        <w:t>【</w:t>
      </w:r>
      <w:r>
        <w:rPr>
          <w:rFonts w:hint="eastAsia"/>
          <w:lang w:eastAsia="zh-CN"/>
        </w:rPr>
        <w:t>人事任免文件</w:t>
      </w:r>
      <w:r>
        <w:rPr>
          <w:rFonts w:hint="eastAsia"/>
          <w:lang w:val="en-US" w:eastAsia="zh-CN"/>
        </w:rPr>
        <w:t>】</w:t>
      </w:r>
    </w:p>
    <w:p>
      <w:pPr>
        <w:pStyle w:val="16"/>
        <w:tabs>
          <w:tab w:val="right" w:leader="dot" w:pos="9462"/>
        </w:tabs>
      </w:pPr>
      <w:r>
        <w:rPr>
          <w:rFonts w:hint="default"/>
          <w:lang w:val="en-US" w:eastAsia="zh-CN"/>
        </w:rPr>
        <w:fldChar w:fldCharType="begin"/>
      </w:r>
      <w:r>
        <w:rPr>
          <w:rFonts w:hint="default"/>
          <w:lang w:val="en-US" w:eastAsia="zh-CN"/>
        </w:rPr>
        <w:instrText xml:space="preserve"> HYPERLINK \l _Toc24425 </w:instrText>
      </w:r>
      <w:r>
        <w:rPr>
          <w:rFonts w:hint="default"/>
          <w:lang w:val="en-US" w:eastAsia="zh-CN"/>
        </w:rPr>
        <w:fldChar w:fldCharType="separate"/>
      </w:r>
      <w:r>
        <w:rPr>
          <w:rFonts w:hint="eastAsia"/>
        </w:rPr>
        <w:t>原平市人民政府</w:t>
      </w:r>
      <w:r>
        <w:rPr>
          <w:rFonts w:hint="default"/>
          <w:lang w:val="en-US" w:eastAsia="zh-CN"/>
        </w:rPr>
        <w:fldChar w:fldCharType="end"/>
      </w:r>
      <w:r>
        <w:rPr>
          <w:rFonts w:hint="default"/>
          <w:lang w:val="en-US" w:eastAsia="zh-CN"/>
        </w:rPr>
        <w:fldChar w:fldCharType="begin"/>
      </w:r>
      <w:r>
        <w:rPr>
          <w:rFonts w:hint="default"/>
          <w:lang w:val="en-US" w:eastAsia="zh-CN"/>
        </w:rPr>
        <w:instrText xml:space="preserve"> HYPERLINK \l _Toc22782 </w:instrText>
      </w:r>
      <w:r>
        <w:rPr>
          <w:rFonts w:hint="default"/>
          <w:lang w:val="en-US" w:eastAsia="zh-CN"/>
        </w:rPr>
        <w:fldChar w:fldCharType="separate"/>
      </w:r>
      <w:r>
        <w:rPr>
          <w:rFonts w:hint="eastAsia"/>
        </w:rPr>
        <w:t>关于王文慧任职的通知</w:t>
      </w:r>
      <w:r>
        <w:rPr>
          <w:rFonts w:hint="default"/>
          <w:lang w:val="en-US" w:eastAsia="zh-CN"/>
        </w:rPr>
        <w:fldChar w:fldCharType="end"/>
      </w:r>
    </w:p>
    <w:p>
      <w:pPr>
        <w:pStyle w:val="17"/>
        <w:tabs>
          <w:tab w:val="right" w:leader="dot" w:pos="9462"/>
        </w:tabs>
        <w:rPr>
          <w:rFonts w:hint="eastAsia"/>
          <w:lang w:val="en-US" w:eastAsia="zh-CN"/>
        </w:rPr>
      </w:pPr>
      <w:r>
        <w:rPr>
          <w:rFonts w:hint="default"/>
          <w:lang w:val="en-US" w:eastAsia="zh-CN"/>
        </w:rPr>
        <w:fldChar w:fldCharType="begin"/>
      </w:r>
      <w:r>
        <w:rPr>
          <w:rFonts w:hint="default"/>
          <w:lang w:val="en-US" w:eastAsia="zh-CN"/>
        </w:rPr>
        <w:instrText xml:space="preserve"> HYPERLINK \l _Toc27025 </w:instrText>
      </w:r>
      <w:r>
        <w:rPr>
          <w:rFonts w:hint="default"/>
          <w:lang w:val="en-US" w:eastAsia="zh-CN"/>
        </w:rPr>
        <w:fldChar w:fldCharType="separate"/>
      </w:r>
      <w:r>
        <w:rPr>
          <w:rFonts w:hint="eastAsia"/>
        </w:rPr>
        <w:t>原政任〔2022〕18号</w:t>
      </w:r>
      <w:r>
        <w:tab/>
      </w:r>
      <w:r>
        <w:rPr>
          <w:rFonts w:hint="eastAsia"/>
          <w:lang w:eastAsia="zh-CN"/>
        </w:rPr>
        <w:t>（</w:t>
      </w:r>
      <w:r>
        <w:fldChar w:fldCharType="begin"/>
      </w:r>
      <w:r>
        <w:instrText xml:space="preserve"> PAGEREF _Toc27025 \h </w:instrText>
      </w:r>
      <w:r>
        <w:fldChar w:fldCharType="separate"/>
      </w:r>
      <w:r>
        <w:t>64</w:t>
      </w:r>
      <w:r>
        <w:fldChar w:fldCharType="end"/>
      </w:r>
      <w:r>
        <w:rPr>
          <w:rFonts w:hint="default"/>
          <w:lang w:val="en-US" w:eastAsia="zh-CN"/>
        </w:rPr>
        <w:fldChar w:fldCharType="end"/>
      </w:r>
      <w:r>
        <w:rPr>
          <w:rFonts w:hint="eastAsia"/>
          <w:lang w:val="en-US" w:eastAsia="zh-CN"/>
        </w:rPr>
        <w:t>）</w:t>
      </w:r>
    </w:p>
    <w:p>
      <w:pPr>
        <w:pStyle w:val="16"/>
        <w:tabs>
          <w:tab w:val="right" w:leader="dot" w:pos="9462"/>
        </w:tabs>
      </w:pPr>
      <w:r>
        <w:rPr>
          <w:rFonts w:hint="default"/>
          <w:lang w:val="en-US" w:eastAsia="zh-CN"/>
        </w:rPr>
        <w:fldChar w:fldCharType="begin"/>
      </w:r>
      <w:r>
        <w:rPr>
          <w:rFonts w:hint="default"/>
          <w:lang w:val="en-US" w:eastAsia="zh-CN"/>
        </w:rPr>
        <w:instrText xml:space="preserve"> HYPERLINK \l _Toc32086 </w:instrText>
      </w:r>
      <w:r>
        <w:rPr>
          <w:rFonts w:hint="default"/>
          <w:lang w:val="en-US" w:eastAsia="zh-CN"/>
        </w:rPr>
        <w:fldChar w:fldCharType="separate"/>
      </w:r>
      <w:r>
        <w:rPr>
          <w:rFonts w:hint="eastAsia"/>
        </w:rPr>
        <w:t>原平市人民政府</w:t>
      </w:r>
      <w:r>
        <w:rPr>
          <w:rFonts w:hint="default"/>
          <w:lang w:val="en-US" w:eastAsia="zh-CN"/>
        </w:rPr>
        <w:fldChar w:fldCharType="end"/>
      </w:r>
      <w:r>
        <w:rPr>
          <w:rFonts w:hint="default"/>
          <w:lang w:val="en-US" w:eastAsia="zh-CN"/>
        </w:rPr>
        <w:fldChar w:fldCharType="begin"/>
      </w:r>
      <w:r>
        <w:rPr>
          <w:rFonts w:hint="default"/>
          <w:lang w:val="en-US" w:eastAsia="zh-CN"/>
        </w:rPr>
        <w:instrText xml:space="preserve"> HYPERLINK \l _Toc31036 </w:instrText>
      </w:r>
      <w:r>
        <w:rPr>
          <w:rFonts w:hint="default"/>
          <w:lang w:val="en-US" w:eastAsia="zh-CN"/>
        </w:rPr>
        <w:fldChar w:fldCharType="separate"/>
      </w:r>
      <w:r>
        <w:rPr>
          <w:rFonts w:hint="eastAsia"/>
        </w:rPr>
        <w:t>关于杨存良等任职的通知</w:t>
      </w:r>
      <w:r>
        <w:rPr>
          <w:rFonts w:hint="default"/>
          <w:lang w:val="en-US" w:eastAsia="zh-CN"/>
        </w:rPr>
        <w:fldChar w:fldCharType="end"/>
      </w:r>
    </w:p>
    <w:p>
      <w:pPr>
        <w:pStyle w:val="17"/>
        <w:tabs>
          <w:tab w:val="right" w:leader="dot" w:pos="9462"/>
        </w:tabs>
      </w:pPr>
      <w:r>
        <w:rPr>
          <w:rFonts w:hint="default"/>
          <w:lang w:val="en-US" w:eastAsia="zh-CN"/>
        </w:rPr>
        <w:fldChar w:fldCharType="begin"/>
      </w:r>
      <w:r>
        <w:rPr>
          <w:rFonts w:hint="default"/>
          <w:lang w:val="en-US" w:eastAsia="zh-CN"/>
        </w:rPr>
        <w:instrText xml:space="preserve"> HYPERLINK \l _Toc2264 </w:instrText>
      </w:r>
      <w:r>
        <w:rPr>
          <w:rFonts w:hint="default"/>
          <w:lang w:val="en-US" w:eastAsia="zh-CN"/>
        </w:rPr>
        <w:fldChar w:fldCharType="separate"/>
      </w:r>
      <w:r>
        <w:rPr>
          <w:rFonts w:hint="eastAsia"/>
        </w:rPr>
        <w:t>原政任〔2022〕20号</w:t>
      </w:r>
      <w:r>
        <w:tab/>
      </w:r>
      <w:r>
        <w:rPr>
          <w:rFonts w:hint="eastAsia"/>
          <w:lang w:eastAsia="zh-CN"/>
        </w:rPr>
        <w:t>（</w:t>
      </w:r>
      <w:r>
        <w:fldChar w:fldCharType="begin"/>
      </w:r>
      <w:r>
        <w:instrText xml:space="preserve"> PAGEREF _Toc2264 \h </w:instrText>
      </w:r>
      <w:r>
        <w:fldChar w:fldCharType="separate"/>
      </w:r>
      <w:r>
        <w:t>64</w:t>
      </w:r>
      <w:r>
        <w:fldChar w:fldCharType="end"/>
      </w:r>
      <w:r>
        <w:rPr>
          <w:rFonts w:hint="default"/>
          <w:lang w:val="en-US" w:eastAsia="zh-CN"/>
        </w:rPr>
        <w:fldChar w:fldCharType="end"/>
      </w:r>
      <w:r>
        <w:rPr>
          <w:rFonts w:hint="eastAsia"/>
          <w:lang w:val="en-US" w:eastAsia="zh-CN"/>
        </w:rPr>
        <w:t>）</w:t>
      </w:r>
    </w:p>
    <w:p>
      <w:pPr>
        <w:pStyle w:val="16"/>
        <w:tabs>
          <w:tab w:val="right" w:leader="dot" w:pos="9462"/>
        </w:tabs>
      </w:pPr>
      <w:r>
        <w:rPr>
          <w:rFonts w:hint="default"/>
          <w:lang w:val="en-US" w:eastAsia="zh-CN"/>
        </w:rPr>
        <w:fldChar w:fldCharType="begin"/>
      </w:r>
      <w:r>
        <w:rPr>
          <w:rFonts w:hint="default"/>
          <w:lang w:val="en-US" w:eastAsia="zh-CN"/>
        </w:rPr>
        <w:instrText xml:space="preserve"> HYPERLINK \l _Toc5446 </w:instrText>
      </w:r>
      <w:r>
        <w:rPr>
          <w:rFonts w:hint="default"/>
          <w:lang w:val="en-US" w:eastAsia="zh-CN"/>
        </w:rPr>
        <w:fldChar w:fldCharType="separate"/>
      </w:r>
      <w:r>
        <w:rPr>
          <w:rFonts w:hint="eastAsia"/>
        </w:rPr>
        <w:t>原平市人民政府</w:t>
      </w:r>
      <w:r>
        <w:rPr>
          <w:rFonts w:hint="default"/>
          <w:lang w:val="en-US" w:eastAsia="zh-CN"/>
        </w:rPr>
        <w:fldChar w:fldCharType="end"/>
      </w:r>
      <w:r>
        <w:rPr>
          <w:rFonts w:hint="default"/>
          <w:lang w:val="en-US" w:eastAsia="zh-CN"/>
        </w:rPr>
        <w:fldChar w:fldCharType="begin"/>
      </w:r>
      <w:r>
        <w:rPr>
          <w:rFonts w:hint="default"/>
          <w:lang w:val="en-US" w:eastAsia="zh-CN"/>
        </w:rPr>
        <w:instrText xml:space="preserve"> HYPERLINK \l _Toc11944 </w:instrText>
      </w:r>
      <w:r>
        <w:rPr>
          <w:rFonts w:hint="default"/>
          <w:lang w:val="en-US" w:eastAsia="zh-CN"/>
        </w:rPr>
        <w:fldChar w:fldCharType="separate"/>
      </w:r>
      <w:r>
        <w:rPr>
          <w:rFonts w:hint="eastAsia"/>
        </w:rPr>
        <w:t>关于葛茂华等试用期满正式任职的通知</w:t>
      </w:r>
      <w:r>
        <w:rPr>
          <w:rFonts w:hint="default"/>
          <w:lang w:val="en-US" w:eastAsia="zh-CN"/>
        </w:rPr>
        <w:fldChar w:fldCharType="end"/>
      </w:r>
    </w:p>
    <w:p>
      <w:pPr>
        <w:pStyle w:val="17"/>
        <w:tabs>
          <w:tab w:val="right" w:leader="dot" w:pos="9462"/>
        </w:tabs>
      </w:pPr>
      <w:r>
        <w:rPr>
          <w:rFonts w:hint="default"/>
          <w:lang w:val="en-US" w:eastAsia="zh-CN"/>
        </w:rPr>
        <w:fldChar w:fldCharType="begin"/>
      </w:r>
      <w:r>
        <w:rPr>
          <w:rFonts w:hint="default"/>
          <w:lang w:val="en-US" w:eastAsia="zh-CN"/>
        </w:rPr>
        <w:instrText xml:space="preserve"> HYPERLINK \l _Toc5423 </w:instrText>
      </w:r>
      <w:r>
        <w:rPr>
          <w:rFonts w:hint="default"/>
          <w:lang w:val="en-US" w:eastAsia="zh-CN"/>
        </w:rPr>
        <w:fldChar w:fldCharType="separate"/>
      </w:r>
      <w:r>
        <w:rPr>
          <w:rFonts w:hint="eastAsia"/>
        </w:rPr>
        <w:t>原政任〔2022〕21号</w:t>
      </w:r>
      <w:r>
        <w:tab/>
      </w:r>
      <w:r>
        <w:rPr>
          <w:rFonts w:hint="eastAsia"/>
          <w:lang w:eastAsia="zh-CN"/>
        </w:rPr>
        <w:t>（</w:t>
      </w:r>
      <w:r>
        <w:fldChar w:fldCharType="begin"/>
      </w:r>
      <w:r>
        <w:instrText xml:space="preserve"> PAGEREF _Toc5423 \h </w:instrText>
      </w:r>
      <w:r>
        <w:fldChar w:fldCharType="separate"/>
      </w:r>
      <w:r>
        <w:t>65</w:t>
      </w:r>
      <w:r>
        <w:fldChar w:fldCharType="end"/>
      </w:r>
      <w:r>
        <w:rPr>
          <w:rFonts w:hint="default"/>
          <w:lang w:val="en-US" w:eastAsia="zh-CN"/>
        </w:rPr>
        <w:fldChar w:fldCharType="end"/>
      </w:r>
      <w:r>
        <w:rPr>
          <w:rFonts w:hint="eastAsia"/>
          <w:lang w:val="en-US" w:eastAsia="zh-CN"/>
        </w:rPr>
        <w:t>）</w:t>
      </w:r>
    </w:p>
    <w:p>
      <w:pPr>
        <w:pStyle w:val="16"/>
        <w:tabs>
          <w:tab w:val="right" w:leader="dot" w:pos="9462"/>
        </w:tabs>
      </w:pPr>
      <w:r>
        <w:rPr>
          <w:rFonts w:hint="default"/>
          <w:lang w:val="en-US" w:eastAsia="zh-CN"/>
        </w:rPr>
        <w:fldChar w:fldCharType="begin"/>
      </w:r>
      <w:r>
        <w:rPr>
          <w:rFonts w:hint="default"/>
          <w:lang w:val="en-US" w:eastAsia="zh-CN"/>
        </w:rPr>
        <w:instrText xml:space="preserve"> HYPERLINK \l _Toc15750 </w:instrText>
      </w:r>
      <w:r>
        <w:rPr>
          <w:rFonts w:hint="default"/>
          <w:lang w:val="en-US" w:eastAsia="zh-CN"/>
        </w:rPr>
        <w:fldChar w:fldCharType="separate"/>
      </w:r>
      <w:r>
        <w:rPr>
          <w:rFonts w:hint="eastAsia"/>
        </w:rPr>
        <w:t>原平市人民政府</w:t>
      </w:r>
      <w:r>
        <w:rPr>
          <w:rFonts w:hint="default"/>
          <w:lang w:val="en-US" w:eastAsia="zh-CN"/>
        </w:rPr>
        <w:fldChar w:fldCharType="end"/>
      </w:r>
      <w:r>
        <w:rPr>
          <w:rFonts w:hint="default"/>
          <w:lang w:val="en-US" w:eastAsia="zh-CN"/>
        </w:rPr>
        <w:fldChar w:fldCharType="begin"/>
      </w:r>
      <w:r>
        <w:rPr>
          <w:rFonts w:hint="default"/>
          <w:lang w:val="en-US" w:eastAsia="zh-CN"/>
        </w:rPr>
        <w:instrText xml:space="preserve"> HYPERLINK \l _Toc5357 </w:instrText>
      </w:r>
      <w:r>
        <w:rPr>
          <w:rFonts w:hint="default"/>
          <w:lang w:val="en-US" w:eastAsia="zh-CN"/>
        </w:rPr>
        <w:fldChar w:fldCharType="separate"/>
      </w:r>
      <w:r>
        <w:rPr>
          <w:rFonts w:hint="eastAsia"/>
        </w:rPr>
        <w:t>关于祝孙波等任免职务的通知</w:t>
      </w:r>
      <w:r>
        <w:rPr>
          <w:rFonts w:hint="default"/>
          <w:lang w:val="en-US" w:eastAsia="zh-CN"/>
        </w:rPr>
        <w:fldChar w:fldCharType="end"/>
      </w:r>
    </w:p>
    <w:p>
      <w:pPr>
        <w:pStyle w:val="17"/>
        <w:tabs>
          <w:tab w:val="right" w:leader="dot" w:pos="9462"/>
        </w:tabs>
      </w:pPr>
      <w:r>
        <w:rPr>
          <w:rFonts w:hint="default"/>
          <w:lang w:val="en-US" w:eastAsia="zh-CN"/>
        </w:rPr>
        <w:fldChar w:fldCharType="begin"/>
      </w:r>
      <w:r>
        <w:rPr>
          <w:rFonts w:hint="default"/>
          <w:lang w:val="en-US" w:eastAsia="zh-CN"/>
        </w:rPr>
        <w:instrText xml:space="preserve"> HYPERLINK \l _Toc12510 </w:instrText>
      </w:r>
      <w:r>
        <w:rPr>
          <w:rFonts w:hint="default"/>
          <w:lang w:val="en-US" w:eastAsia="zh-CN"/>
        </w:rPr>
        <w:fldChar w:fldCharType="separate"/>
      </w:r>
      <w:r>
        <w:rPr>
          <w:rFonts w:hint="eastAsia"/>
        </w:rPr>
        <w:t>原政任〔2022〕22号</w:t>
      </w:r>
      <w:r>
        <w:tab/>
      </w:r>
      <w:r>
        <w:rPr>
          <w:rFonts w:hint="eastAsia"/>
          <w:lang w:eastAsia="zh-CN"/>
        </w:rPr>
        <w:t>（</w:t>
      </w:r>
      <w:r>
        <w:fldChar w:fldCharType="begin"/>
      </w:r>
      <w:r>
        <w:instrText xml:space="preserve"> PAGEREF _Toc12510 \h </w:instrText>
      </w:r>
      <w:r>
        <w:fldChar w:fldCharType="separate"/>
      </w:r>
      <w:r>
        <w:t>66</w:t>
      </w:r>
      <w:r>
        <w:fldChar w:fldCharType="end"/>
      </w:r>
      <w:r>
        <w:rPr>
          <w:rFonts w:hint="default"/>
          <w:lang w:val="en-US" w:eastAsia="zh-CN"/>
        </w:rPr>
        <w:fldChar w:fldCharType="end"/>
      </w:r>
      <w:r>
        <w:rPr>
          <w:rFonts w:hint="eastAsia"/>
          <w:lang w:eastAsia="zh-CN"/>
        </w:rPr>
        <w:t>）</w:t>
      </w:r>
    </w:p>
    <w:p>
      <w:pPr>
        <w:bidi w:val="0"/>
        <w:rPr>
          <w:rFonts w:hint="default"/>
          <w:lang w:val="en-US" w:eastAsia="zh-CN"/>
        </w:rPr>
        <w:sectPr>
          <w:headerReference r:id="rId7" w:type="default"/>
          <w:footerReference r:id="rId8" w:type="default"/>
          <w:footerReference r:id="rId9" w:type="even"/>
          <w:pgSz w:w="12240" w:h="16498"/>
          <w:pgMar w:top="1145" w:right="1389" w:bottom="1134" w:left="1389" w:header="1043" w:footer="992" w:gutter="0"/>
          <w:pgNumType w:fmt="decimal" w:start="3"/>
          <w:cols w:space="0" w:num="1"/>
          <w:rtlGutter w:val="0"/>
          <w:docGrid w:type="lines" w:linePitch="312" w:charSpace="0"/>
        </w:sectPr>
      </w:pPr>
      <w:r>
        <w:rPr>
          <w:rFonts w:hint="default"/>
          <w:lang w:val="en-US" w:eastAsia="zh-CN"/>
        </w:rPr>
        <w:fldChar w:fldCharType="end"/>
      </w:r>
    </w:p>
    <w:p>
      <w:pPr>
        <w:pStyle w:val="2"/>
        <w:bidi w:val="0"/>
        <w:rPr>
          <w:rFonts w:hint="eastAsia"/>
        </w:rPr>
      </w:pPr>
    </w:p>
    <w:p>
      <w:pPr>
        <w:pStyle w:val="2"/>
        <w:bidi w:val="0"/>
        <w:rPr>
          <w:rFonts w:hint="eastAsia"/>
        </w:rPr>
      </w:pPr>
      <w:bookmarkStart w:id="2" w:name="_Toc442"/>
      <w:bookmarkStart w:id="3" w:name="_Toc15823"/>
      <w:r>
        <w:rPr>
          <w:rFonts w:hint="eastAsia"/>
        </w:rPr>
        <w:t>原平市人民政府</w:t>
      </w:r>
      <w:bookmarkEnd w:id="2"/>
      <w:bookmarkEnd w:id="3"/>
    </w:p>
    <w:p>
      <w:pPr>
        <w:pStyle w:val="2"/>
        <w:bidi w:val="0"/>
        <w:rPr>
          <w:rFonts w:hint="eastAsia"/>
        </w:rPr>
      </w:pPr>
      <w:bookmarkStart w:id="4" w:name="_Toc25493"/>
      <w:bookmarkStart w:id="5" w:name="_Toc23738"/>
      <w:r>
        <w:rPr>
          <w:rFonts w:hint="eastAsia"/>
        </w:rPr>
        <w:t>关于印发太忻一体化经济区原平市</w:t>
      </w:r>
      <w:bookmarkEnd w:id="4"/>
      <w:bookmarkEnd w:id="5"/>
    </w:p>
    <w:p>
      <w:pPr>
        <w:pStyle w:val="2"/>
        <w:bidi w:val="0"/>
        <w:rPr>
          <w:rFonts w:hint="eastAsia"/>
        </w:rPr>
      </w:pPr>
      <w:bookmarkStart w:id="6" w:name="_Toc12724"/>
      <w:bookmarkStart w:id="7" w:name="_Toc24133"/>
      <w:r>
        <w:rPr>
          <w:rFonts w:hint="eastAsia"/>
        </w:rPr>
        <w:t>高质量发展规划的通知</w:t>
      </w:r>
      <w:bookmarkEnd w:id="6"/>
      <w:bookmarkEnd w:id="7"/>
    </w:p>
    <w:p>
      <w:pPr>
        <w:keepNext w:val="0"/>
        <w:keepLines w:val="0"/>
        <w:pageBreakBefore w:val="0"/>
        <w:widowControl w:val="0"/>
        <w:kinsoku/>
        <w:overflowPunct/>
        <w:topLinePunct w:val="0"/>
        <w:autoSpaceDE w:val="0"/>
        <w:autoSpaceDN w:val="0"/>
        <w:bidi w:val="0"/>
        <w:adjustRightInd w:val="0"/>
        <w:snapToGrid w:val="0"/>
        <w:spacing w:line="500" w:lineRule="exact"/>
        <w:ind w:left="0" w:leftChars="0" w:firstLine="0" w:firstLineChars="0"/>
        <w:jc w:val="center"/>
        <w:textAlignment w:val="auto"/>
        <w:rPr>
          <w:rFonts w:hint="eastAsia" w:ascii="仿宋_GB2312" w:hAnsi="宋体" w:eastAsia="仿宋_GB2312" w:cs="宋体"/>
          <w:color w:val="000000"/>
          <w:kern w:val="0"/>
          <w:sz w:val="24"/>
          <w:szCs w:val="24"/>
        </w:rPr>
      </w:pPr>
    </w:p>
    <w:p>
      <w:pPr>
        <w:pStyle w:val="3"/>
        <w:bidi w:val="0"/>
      </w:pPr>
      <w:bookmarkStart w:id="8" w:name="_Toc4187"/>
      <w:r>
        <w:rPr>
          <w:rFonts w:hint="eastAsia"/>
        </w:rPr>
        <w:t>原政发〔</w:t>
      </w:r>
      <w:r>
        <w:t>2022</w:t>
      </w:r>
      <w:r>
        <w:rPr>
          <w:rFonts w:hint="eastAsia"/>
        </w:rPr>
        <w:t>〕63号</w:t>
      </w:r>
      <w:bookmarkEnd w:id="8"/>
    </w:p>
    <w:p>
      <w:pPr>
        <w:keepNext w:val="0"/>
        <w:keepLines w:val="0"/>
        <w:pageBreakBefore w:val="0"/>
        <w:widowControl w:val="0"/>
        <w:kinsoku/>
        <w:overflowPunct/>
        <w:topLinePunct w:val="0"/>
        <w:bidi w:val="0"/>
        <w:snapToGrid w:val="0"/>
        <w:spacing w:line="500" w:lineRule="exact"/>
        <w:ind w:left="0" w:leftChars="0" w:firstLine="0" w:firstLineChars="0"/>
        <w:textAlignment w:val="auto"/>
        <w:rPr>
          <w:rFonts w:hint="eastAsia" w:ascii="仿宋_GB2312" w:eastAsia="仿宋_GB2312"/>
          <w:sz w:val="24"/>
          <w:szCs w:val="24"/>
        </w:rPr>
      </w:pPr>
      <w:r>
        <w:rPr>
          <w:rFonts w:hint="eastAsia" w:ascii="仿宋_GB2312" w:eastAsia="仿宋_GB2312"/>
          <w:sz w:val="24"/>
          <w:szCs w:val="24"/>
        </w:rPr>
        <w:t>各乡（镇）人民政府，各有关单位：</w:t>
      </w:r>
    </w:p>
    <w:p>
      <w:pPr>
        <w:keepNext w:val="0"/>
        <w:keepLines w:val="0"/>
        <w:pageBreakBefore w:val="0"/>
        <w:widowControl w:val="0"/>
        <w:kinsoku/>
        <w:overflowPunct/>
        <w:topLinePunct w:val="0"/>
        <w:bidi w:val="0"/>
        <w:snapToGrid w:val="0"/>
        <w:spacing w:line="500" w:lineRule="exact"/>
        <w:ind w:firstLine="480" w:firstLineChars="200"/>
        <w:textAlignment w:val="auto"/>
        <w:rPr>
          <w:rFonts w:hint="eastAsia" w:ascii="仿宋_GB2312" w:eastAsia="仿宋_GB2312"/>
          <w:sz w:val="24"/>
          <w:szCs w:val="24"/>
        </w:rPr>
      </w:pPr>
      <w:r>
        <w:rPr>
          <w:rFonts w:hint="eastAsia" w:ascii="仿宋_GB2312" w:eastAsia="仿宋_GB2312"/>
          <w:sz w:val="24"/>
          <w:szCs w:val="24"/>
        </w:rPr>
        <w:t>《太忻一体化经济区原平市高质量发展规划》已经市政府研究同意，现印发给你们，请认真贯彻落实。</w:t>
      </w:r>
    </w:p>
    <w:p>
      <w:pPr>
        <w:keepNext w:val="0"/>
        <w:keepLines w:val="0"/>
        <w:pageBreakBefore w:val="0"/>
        <w:widowControl w:val="0"/>
        <w:kinsoku/>
        <w:overflowPunct/>
        <w:topLinePunct w:val="0"/>
        <w:bidi w:val="0"/>
        <w:snapToGrid w:val="0"/>
        <w:spacing w:line="500" w:lineRule="exact"/>
        <w:ind w:firstLine="480" w:firstLineChars="200"/>
        <w:textAlignment w:val="auto"/>
        <w:rPr>
          <w:rFonts w:hint="eastAsia" w:ascii="仿宋_GB2312" w:eastAsia="仿宋_GB2312"/>
          <w:sz w:val="24"/>
          <w:szCs w:val="24"/>
        </w:rPr>
      </w:pPr>
      <w:r>
        <w:rPr>
          <w:rFonts w:hint="eastAsia" w:ascii="仿宋_GB2312" w:eastAsia="仿宋_GB2312"/>
          <w:sz w:val="24"/>
          <w:szCs w:val="24"/>
        </w:rPr>
        <w:t>附件：太忻一体化经济区原平市高质量发展规划</w:t>
      </w:r>
    </w:p>
    <w:p>
      <w:pPr>
        <w:keepNext w:val="0"/>
        <w:keepLines w:val="0"/>
        <w:pageBreakBefore w:val="0"/>
        <w:widowControl w:val="0"/>
        <w:kinsoku/>
        <w:wordWrap/>
        <w:overflowPunct/>
        <w:topLinePunct w:val="0"/>
        <w:bidi w:val="0"/>
        <w:snapToGrid w:val="0"/>
        <w:spacing w:line="500" w:lineRule="exact"/>
        <w:ind w:leftChars="2100"/>
        <w:jc w:val="center"/>
        <w:textAlignment w:val="auto"/>
        <w:rPr>
          <w:rFonts w:hint="eastAsia" w:ascii="仿宋_GB2312" w:eastAsia="仿宋_GB2312"/>
          <w:sz w:val="24"/>
          <w:szCs w:val="24"/>
        </w:rPr>
      </w:pPr>
      <w:r>
        <w:rPr>
          <w:rFonts w:hint="eastAsia" w:ascii="仿宋_GB2312" w:eastAsia="仿宋_GB2312"/>
          <w:sz w:val="24"/>
          <w:szCs w:val="24"/>
        </w:rPr>
        <w:t>原平市人民政府</w:t>
      </w:r>
    </w:p>
    <w:p>
      <w:pPr>
        <w:keepNext w:val="0"/>
        <w:keepLines w:val="0"/>
        <w:pageBreakBefore w:val="0"/>
        <w:widowControl w:val="0"/>
        <w:kinsoku/>
        <w:wordWrap/>
        <w:overflowPunct/>
        <w:topLinePunct w:val="0"/>
        <w:bidi w:val="0"/>
        <w:snapToGrid w:val="0"/>
        <w:spacing w:line="500" w:lineRule="exact"/>
        <w:ind w:leftChars="2100"/>
        <w:jc w:val="center"/>
        <w:textAlignment w:val="auto"/>
        <w:rPr>
          <w:rFonts w:hint="eastAsia" w:ascii="仿宋_GB2312" w:eastAsia="仿宋_GB2312"/>
          <w:sz w:val="24"/>
          <w:szCs w:val="24"/>
        </w:rPr>
      </w:pPr>
      <w:r>
        <w:rPr>
          <w:rFonts w:hint="eastAsia" w:ascii="仿宋_GB2312" w:eastAsia="仿宋_GB2312"/>
          <w:sz w:val="24"/>
          <w:szCs w:val="24"/>
        </w:rPr>
        <w:t>2022年9月2日</w:t>
      </w:r>
    </w:p>
    <w:p>
      <w:pPr>
        <w:keepNext w:val="0"/>
        <w:keepLines w:val="0"/>
        <w:pageBreakBefore w:val="0"/>
        <w:widowControl w:val="0"/>
        <w:kinsoku/>
        <w:overflowPunct/>
        <w:topLinePunct w:val="0"/>
        <w:bidi w:val="0"/>
        <w:snapToGrid w:val="0"/>
        <w:spacing w:line="500" w:lineRule="exact"/>
        <w:textAlignment w:val="auto"/>
        <w:rPr>
          <w:rFonts w:hint="eastAsia" w:ascii="仿宋_GB2312" w:eastAsia="仿宋_GB2312"/>
          <w:sz w:val="24"/>
          <w:szCs w:val="24"/>
        </w:rPr>
      </w:pPr>
    </w:p>
    <w:p>
      <w:pPr>
        <w:pStyle w:val="2"/>
        <w:bidi w:val="0"/>
        <w:rPr>
          <w:rFonts w:hint="eastAsia"/>
        </w:rPr>
      </w:pPr>
    </w:p>
    <w:p>
      <w:pPr>
        <w:pStyle w:val="2"/>
        <w:bidi w:val="0"/>
        <w:rPr>
          <w:rFonts w:hint="eastAsia"/>
        </w:rPr>
      </w:pPr>
      <w:bookmarkStart w:id="9" w:name="_Toc8476"/>
      <w:bookmarkStart w:id="10" w:name="_Toc28868"/>
      <w:r>
        <w:rPr>
          <w:rFonts w:hint="eastAsia"/>
        </w:rPr>
        <w:t>原平市人民政府</w:t>
      </w:r>
      <w:bookmarkEnd w:id="9"/>
      <w:bookmarkEnd w:id="10"/>
    </w:p>
    <w:p>
      <w:pPr>
        <w:pStyle w:val="2"/>
        <w:bidi w:val="0"/>
        <w:rPr>
          <w:rFonts w:hint="eastAsia"/>
        </w:rPr>
      </w:pPr>
      <w:bookmarkStart w:id="11" w:name="_Toc27080"/>
      <w:bookmarkStart w:id="12" w:name="_Toc4481"/>
      <w:r>
        <w:rPr>
          <w:rFonts w:hint="eastAsia"/>
        </w:rPr>
        <w:t>关于印发原平市“十四五”残疾人</w:t>
      </w:r>
      <w:bookmarkEnd w:id="11"/>
      <w:bookmarkEnd w:id="12"/>
    </w:p>
    <w:p>
      <w:pPr>
        <w:pStyle w:val="2"/>
        <w:bidi w:val="0"/>
        <w:rPr>
          <w:rFonts w:hint="eastAsia"/>
        </w:rPr>
      </w:pPr>
      <w:bookmarkStart w:id="13" w:name="_Toc20804"/>
      <w:bookmarkStart w:id="14" w:name="_Toc19342"/>
      <w:r>
        <w:rPr>
          <w:rFonts w:hint="eastAsia"/>
        </w:rPr>
        <w:t>保障和发展规划的通知</w:t>
      </w:r>
      <w:bookmarkEnd w:id="13"/>
      <w:bookmarkEnd w:id="14"/>
    </w:p>
    <w:p>
      <w:pPr>
        <w:keepNext w:val="0"/>
        <w:keepLines w:val="0"/>
        <w:pageBreakBefore w:val="0"/>
        <w:widowControl w:val="0"/>
        <w:kinsoku/>
        <w:overflowPunct/>
        <w:topLinePunct w:val="0"/>
        <w:autoSpaceDE w:val="0"/>
        <w:autoSpaceDN w:val="0"/>
        <w:bidi w:val="0"/>
        <w:adjustRightInd w:val="0"/>
        <w:snapToGrid w:val="0"/>
        <w:spacing w:line="500" w:lineRule="exact"/>
        <w:ind w:left="0" w:leftChars="0" w:firstLine="0" w:firstLineChars="0"/>
        <w:jc w:val="center"/>
        <w:textAlignment w:val="auto"/>
        <w:rPr>
          <w:rFonts w:hint="eastAsia" w:ascii="仿宋_GB2312" w:eastAsia="仿宋_GB2312" w:cs="仿宋_GB2312"/>
          <w:color w:val="000000"/>
          <w:kern w:val="0"/>
          <w:sz w:val="24"/>
          <w:szCs w:val="24"/>
          <w:lang w:val="zh-CN"/>
        </w:rPr>
      </w:pPr>
    </w:p>
    <w:p>
      <w:pPr>
        <w:pStyle w:val="3"/>
        <w:bidi w:val="0"/>
        <w:rPr>
          <w:rFonts w:hint="eastAsia"/>
          <w:lang w:val="zh-CN"/>
        </w:rPr>
      </w:pPr>
      <w:bookmarkStart w:id="15" w:name="_Toc13394"/>
      <w:r>
        <w:rPr>
          <w:rFonts w:hint="eastAsia"/>
          <w:lang w:val="zh-CN"/>
        </w:rPr>
        <w:t>原政发〔</w:t>
      </w:r>
      <w:r>
        <w:rPr>
          <w:lang w:val="zh-CN"/>
        </w:rPr>
        <w:t>202</w:t>
      </w:r>
      <w:r>
        <w:rPr>
          <w:rFonts w:hint="eastAsia"/>
          <w:lang w:val="zh-CN"/>
        </w:rPr>
        <w:t>2〕64号</w:t>
      </w:r>
      <w:bookmarkEnd w:id="15"/>
    </w:p>
    <w:p>
      <w:pPr>
        <w:keepNext w:val="0"/>
        <w:keepLines w:val="0"/>
        <w:pageBreakBefore w:val="0"/>
        <w:widowControl w:val="0"/>
        <w:kinsoku/>
        <w:overflowPunct/>
        <w:topLinePunct w:val="0"/>
        <w:bidi w:val="0"/>
        <w:snapToGrid w:val="0"/>
        <w:spacing w:line="500" w:lineRule="exact"/>
        <w:ind w:left="0" w:leftChars="0" w:firstLine="0" w:firstLineChars="0"/>
        <w:textAlignment w:val="auto"/>
        <w:rPr>
          <w:rFonts w:hint="eastAsia" w:ascii="仿宋_GB2312" w:eastAsia="仿宋_GB2312"/>
          <w:sz w:val="24"/>
          <w:szCs w:val="24"/>
        </w:rPr>
      </w:pPr>
      <w:r>
        <w:rPr>
          <w:rFonts w:hint="eastAsia" w:ascii="仿宋_GB2312" w:eastAsia="仿宋_GB2312"/>
          <w:sz w:val="24"/>
          <w:szCs w:val="24"/>
        </w:rPr>
        <w:t>各乡（镇）人民政府，各有关单位：</w:t>
      </w:r>
    </w:p>
    <w:p>
      <w:pPr>
        <w:keepNext w:val="0"/>
        <w:keepLines w:val="0"/>
        <w:pageBreakBefore w:val="0"/>
        <w:widowControl w:val="0"/>
        <w:kinsoku/>
        <w:overflowPunct/>
        <w:topLinePunct w:val="0"/>
        <w:bidi w:val="0"/>
        <w:snapToGrid w:val="0"/>
        <w:spacing w:line="500" w:lineRule="exact"/>
        <w:textAlignment w:val="auto"/>
        <w:rPr>
          <w:rFonts w:hint="eastAsia" w:ascii="仿宋_GB2312" w:eastAsia="仿宋_GB2312"/>
          <w:sz w:val="24"/>
          <w:szCs w:val="24"/>
        </w:rPr>
      </w:pPr>
      <w:r>
        <w:rPr>
          <w:rFonts w:hint="eastAsia" w:ascii="仿宋_GB2312" w:eastAsia="仿宋_GB2312"/>
          <w:sz w:val="24"/>
          <w:szCs w:val="24"/>
        </w:rPr>
        <w:t>《原平市“十四五”残疾人保障和发展规划》已经市政府研究同意，现印发给你们，请认真贯彻落实。</w:t>
      </w:r>
    </w:p>
    <w:p>
      <w:pPr>
        <w:keepNext w:val="0"/>
        <w:keepLines w:val="0"/>
        <w:pageBreakBefore w:val="0"/>
        <w:widowControl w:val="0"/>
        <w:kinsoku/>
        <w:wordWrap/>
        <w:overflowPunct/>
        <w:topLinePunct w:val="0"/>
        <w:bidi w:val="0"/>
        <w:snapToGrid w:val="0"/>
        <w:spacing w:line="500" w:lineRule="exact"/>
        <w:ind w:leftChars="2200"/>
        <w:jc w:val="center"/>
        <w:textAlignment w:val="auto"/>
        <w:rPr>
          <w:rFonts w:hint="eastAsia" w:ascii="仿宋_GB2312" w:eastAsia="仿宋_GB2312"/>
          <w:sz w:val="24"/>
          <w:szCs w:val="24"/>
        </w:rPr>
      </w:pPr>
    </w:p>
    <w:p>
      <w:pPr>
        <w:keepNext w:val="0"/>
        <w:keepLines w:val="0"/>
        <w:pageBreakBefore w:val="0"/>
        <w:widowControl w:val="0"/>
        <w:kinsoku/>
        <w:wordWrap/>
        <w:overflowPunct/>
        <w:topLinePunct w:val="0"/>
        <w:bidi w:val="0"/>
        <w:snapToGrid w:val="0"/>
        <w:spacing w:line="500" w:lineRule="exact"/>
        <w:ind w:left="5520" w:leftChars="2300" w:firstLine="0" w:firstLineChars="0"/>
        <w:jc w:val="center"/>
        <w:textAlignment w:val="auto"/>
        <w:rPr>
          <w:rFonts w:hint="eastAsia" w:ascii="仿宋_GB2312" w:eastAsia="仿宋_GB2312"/>
          <w:sz w:val="24"/>
          <w:szCs w:val="24"/>
        </w:rPr>
      </w:pPr>
      <w:r>
        <w:rPr>
          <w:rFonts w:hint="eastAsia" w:ascii="仿宋_GB2312" w:eastAsia="仿宋_GB2312"/>
          <w:sz w:val="24"/>
          <w:szCs w:val="24"/>
        </w:rPr>
        <w:t>原平市人民政府</w:t>
      </w:r>
    </w:p>
    <w:p>
      <w:pPr>
        <w:keepNext w:val="0"/>
        <w:keepLines w:val="0"/>
        <w:pageBreakBefore w:val="0"/>
        <w:widowControl w:val="0"/>
        <w:kinsoku/>
        <w:wordWrap/>
        <w:overflowPunct/>
        <w:topLinePunct w:val="0"/>
        <w:bidi w:val="0"/>
        <w:snapToGrid w:val="0"/>
        <w:spacing w:line="500" w:lineRule="exact"/>
        <w:ind w:left="5520" w:leftChars="2300" w:firstLine="0" w:firstLineChars="0"/>
        <w:jc w:val="center"/>
        <w:textAlignment w:val="auto"/>
        <w:rPr>
          <w:rFonts w:hint="eastAsia" w:ascii="仿宋_GB2312" w:eastAsia="仿宋_GB2312"/>
          <w:sz w:val="24"/>
          <w:szCs w:val="24"/>
        </w:rPr>
      </w:pPr>
      <w:r>
        <w:rPr>
          <w:rFonts w:hint="eastAsia" w:ascii="仿宋_GB2312" w:eastAsia="仿宋_GB2312"/>
          <w:sz w:val="24"/>
          <w:szCs w:val="24"/>
        </w:rPr>
        <w:t>2022年9月4日</w:t>
      </w:r>
    </w:p>
    <w:p>
      <w:pPr>
        <w:spacing w:line="560" w:lineRule="exact"/>
        <w:rPr>
          <w:rFonts w:hint="eastAsia" w:ascii="仿宋_GB2312" w:eastAsia="仿宋_GB2312"/>
          <w:sz w:val="32"/>
          <w:szCs w:val="32"/>
        </w:rPr>
      </w:pPr>
    </w:p>
    <w:p>
      <w:pPr>
        <w:pStyle w:val="32"/>
        <w:bidi w:val="0"/>
        <w:rPr>
          <w:rFonts w:hint="eastAsia"/>
        </w:rPr>
      </w:pPr>
      <w:bookmarkStart w:id="16" w:name="_Toc12667"/>
      <w:r>
        <w:rPr>
          <w:rFonts w:hint="eastAsia"/>
        </w:rPr>
        <w:t>原平市“十四五”残疾人保障和发展规划</w:t>
      </w:r>
      <w:bookmarkEnd w:id="16"/>
    </w:p>
    <w:p>
      <w:pPr>
        <w:spacing w:line="600" w:lineRule="exact"/>
        <w:jc w:val="center"/>
        <w:rPr>
          <w:rFonts w:ascii="方正小标宋简体" w:hAnsi="方正小标宋简体" w:eastAsia="方正小标宋简体" w:cs="方正小标宋简体"/>
          <w:sz w:val="45"/>
          <w:szCs w:val="45"/>
        </w:rPr>
      </w:pPr>
    </w:p>
    <w:p>
      <w:pPr>
        <w:pStyle w:val="42"/>
        <w:keepNext w:val="0"/>
        <w:keepLines w:val="0"/>
        <w:pageBreakBefore w:val="0"/>
        <w:widowControl w:val="0"/>
        <w:kinsoku/>
        <w:wordWrap/>
        <w:overflowPunct/>
        <w:topLinePunct w:val="0"/>
        <w:autoSpaceDE/>
        <w:autoSpaceDN/>
        <w:bidi w:val="0"/>
        <w:adjustRightInd/>
        <w:snapToGrid w:val="0"/>
        <w:spacing w:after="0" w:line="500" w:lineRule="exact"/>
        <w:ind w:firstLine="480" w:firstLineChars="200"/>
        <w:jc w:val="both"/>
        <w:textAlignment w:val="auto"/>
        <w:rPr>
          <w:rFonts w:hint="eastAsia" w:ascii="仿宋_GB2312" w:hAnsi="仿宋" w:eastAsia="仿宋_GB2312" w:cs="仿宋"/>
          <w:sz w:val="24"/>
          <w:szCs w:val="24"/>
        </w:rPr>
        <w:sectPr>
          <w:headerReference r:id="rId10" w:type="default"/>
          <w:footerReference r:id="rId11" w:type="default"/>
          <w:footerReference r:id="rId12" w:type="even"/>
          <w:pgSz w:w="12240" w:h="16498"/>
          <w:pgMar w:top="1145" w:right="1389" w:bottom="1134" w:left="1389" w:header="1043" w:footer="992" w:gutter="0"/>
          <w:pgNumType w:fmt="decimal" w:start="1"/>
          <w:cols w:space="425"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val="0"/>
        <w:spacing w:line="420" w:lineRule="exact"/>
        <w:textAlignment w:val="auto"/>
      </w:pPr>
      <w:r>
        <w:rPr>
          <w:rFonts w:hint="eastAsia"/>
        </w:rPr>
        <w:t>为深入贯彻习近平总书记关于残疾人事业的重要指示批示精神</w:t>
      </w:r>
      <w:r>
        <w:t>,</w:t>
      </w:r>
      <w:r>
        <w:rPr>
          <w:rFonts w:hint="eastAsia"/>
        </w:rPr>
        <w:t>认真落实</w:t>
      </w:r>
      <w:r>
        <w:rPr>
          <w:rFonts w:hint="eastAsia"/>
          <w:lang w:eastAsia="zh-CN"/>
        </w:rPr>
        <w:t>山西省委、省政府，忻州市委、市政府和</w:t>
      </w:r>
      <w:r>
        <w:rPr>
          <w:rFonts w:hint="eastAsia"/>
        </w:rPr>
        <w:t>原平市委、市政府决策部署</w:t>
      </w:r>
      <w:r>
        <w:t>,</w:t>
      </w:r>
      <w:r>
        <w:rPr>
          <w:rFonts w:hint="eastAsia"/>
        </w:rPr>
        <w:t>根据《忻州市“十四五”残疾人保障和发展规划》和《原平市国民经济和社会发展第十四个五年规划和</w:t>
      </w:r>
      <w:r>
        <w:t>2035</w:t>
      </w:r>
      <w:r>
        <w:rPr>
          <w:rFonts w:hint="eastAsia"/>
        </w:rPr>
        <w:t>年远景目标纲要》</w:t>
      </w:r>
      <w:r>
        <w:t>,</w:t>
      </w:r>
      <w:r>
        <w:rPr>
          <w:rFonts w:hint="eastAsia"/>
        </w:rPr>
        <w:t>制定本规划。</w:t>
      </w:r>
    </w:p>
    <w:p>
      <w:pPr>
        <w:keepNext w:val="0"/>
        <w:keepLines w:val="0"/>
        <w:pageBreakBefore w:val="0"/>
        <w:widowControl w:val="0"/>
        <w:kinsoku/>
        <w:wordWrap/>
        <w:overflowPunct/>
        <w:topLinePunct w:val="0"/>
        <w:autoSpaceDE/>
        <w:autoSpaceDN/>
        <w:bidi w:val="0"/>
        <w:adjustRightInd/>
        <w:snapToGrid w:val="0"/>
        <w:spacing w:line="420" w:lineRule="exact"/>
        <w:textAlignment w:val="auto"/>
      </w:pPr>
      <w:r>
        <w:rPr>
          <w:rFonts w:hint="eastAsia"/>
        </w:rPr>
        <w:t>残疾人事业是中国特色社会主义事业的重要组成部分，扶残助残是社会文明进步的重要标志。原平市委、市政府高度重视残疾人事业发展。“十三五”时期</w:t>
      </w:r>
      <w:r>
        <w:t>,</w:t>
      </w:r>
      <w:r>
        <w:rPr>
          <w:rFonts w:hint="eastAsia"/>
        </w:rPr>
        <w:t>全市</w:t>
      </w:r>
      <w:r>
        <w:t>1277</w:t>
      </w:r>
      <w:r>
        <w:rPr>
          <w:rFonts w:hint="eastAsia"/>
        </w:rPr>
        <w:t>名建档立卡贫困残疾人脱贫</w:t>
      </w:r>
      <w:r>
        <w:t>,</w:t>
      </w:r>
      <w:r>
        <w:rPr>
          <w:rFonts w:hint="eastAsia"/>
        </w:rPr>
        <w:t>新增残疾人就业</w:t>
      </w:r>
      <w:r>
        <w:t>92</w:t>
      </w:r>
      <w:r>
        <w:rPr>
          <w:rFonts w:hint="eastAsia"/>
        </w:rPr>
        <w:t>名</w:t>
      </w:r>
      <w:r>
        <w:rPr>
          <w:rFonts w:hint="eastAsia"/>
          <w:lang w:eastAsia="zh-CN"/>
        </w:rPr>
        <w:t>，</w:t>
      </w:r>
      <w:r>
        <w:t>10133</w:t>
      </w:r>
      <w:r>
        <w:rPr>
          <w:rFonts w:hint="eastAsia"/>
        </w:rPr>
        <w:t>户</w:t>
      </w:r>
      <w:r>
        <w:t>10421</w:t>
      </w:r>
      <w:r>
        <w:rPr>
          <w:rFonts w:hint="eastAsia"/>
        </w:rPr>
        <w:t>名困难残疾人得到生活补贴</w:t>
      </w:r>
      <w:r>
        <w:t>,12964</w:t>
      </w:r>
      <w:r>
        <w:rPr>
          <w:rFonts w:hint="eastAsia"/>
        </w:rPr>
        <w:t>名重度残疾人得到护理补贴。残疾人基本康复服务覆盖率和基本辅助器具适配率均达到</w:t>
      </w:r>
      <w:r>
        <w:t>80%</w:t>
      </w:r>
      <w:r>
        <w:rPr>
          <w:rFonts w:hint="eastAsia"/>
        </w:rPr>
        <w:t>以上</w:t>
      </w:r>
      <w:r>
        <w:rPr>
          <w:rFonts w:hint="eastAsia"/>
          <w:lang w:eastAsia="zh-CN"/>
        </w:rPr>
        <w:t>。</w:t>
      </w:r>
      <w:r>
        <w:rPr>
          <w:rFonts w:hint="eastAsia"/>
        </w:rPr>
        <w:t>残疾儿童少年接受义务教育率达到</w:t>
      </w:r>
      <w:r>
        <w:t>95%</w:t>
      </w:r>
      <w:r>
        <w:rPr>
          <w:rFonts w:hint="eastAsia"/>
        </w:rPr>
        <w:t>以上</w:t>
      </w:r>
      <w:r>
        <w:t>,6</w:t>
      </w:r>
      <w:r>
        <w:rPr>
          <w:rFonts w:hint="eastAsia"/>
        </w:rPr>
        <w:t>名残疾学生进入高等院校学习。城乡无障碍环境明显改善</w:t>
      </w:r>
      <w:r>
        <w:t>,</w:t>
      </w:r>
      <w:r>
        <w:rPr>
          <w:rFonts w:hint="eastAsia"/>
        </w:rPr>
        <w:t>关爱帮助残疾人的社会氛围日益浓厚</w:t>
      </w:r>
      <w:r>
        <w:t>,</w:t>
      </w:r>
      <w:r>
        <w:rPr>
          <w:rFonts w:hint="eastAsia"/>
        </w:rPr>
        <w:t>残疾人和全市人民一道共同迈入了全面小康社会。</w:t>
      </w:r>
    </w:p>
    <w:p>
      <w:pPr>
        <w:keepNext w:val="0"/>
        <w:keepLines w:val="0"/>
        <w:pageBreakBefore w:val="0"/>
        <w:widowControl w:val="0"/>
        <w:kinsoku/>
        <w:wordWrap/>
        <w:overflowPunct/>
        <w:topLinePunct w:val="0"/>
        <w:autoSpaceDE/>
        <w:autoSpaceDN/>
        <w:bidi w:val="0"/>
        <w:adjustRightInd/>
        <w:snapToGrid w:val="0"/>
        <w:spacing w:line="420" w:lineRule="exact"/>
        <w:textAlignment w:val="auto"/>
      </w:pPr>
      <w:r>
        <w:rPr>
          <w:rFonts w:hint="eastAsia"/>
        </w:rPr>
        <w:t>“十四五”时期</w:t>
      </w:r>
      <w:r>
        <w:t>,</w:t>
      </w:r>
      <w:r>
        <w:rPr>
          <w:rFonts w:hint="eastAsia"/>
        </w:rPr>
        <w:t>是原平市蹚出全面转型之路的战略机遇期</w:t>
      </w:r>
      <w:r>
        <w:t>,</w:t>
      </w:r>
      <w:r>
        <w:rPr>
          <w:rFonts w:hint="eastAsia"/>
        </w:rPr>
        <w:t>也是全方位推动全市残疾人事业高质量发展的重要时期。要继续加快发展残疾人事业</w:t>
      </w:r>
      <w:r>
        <w:t>,</w:t>
      </w:r>
      <w:r>
        <w:rPr>
          <w:rFonts w:hint="eastAsia"/>
        </w:rPr>
        <w:t>深入贯彻我市高质量高速度赶超型跨越式发展的政策方针</w:t>
      </w:r>
      <w:r>
        <w:t>,</w:t>
      </w:r>
      <w:r>
        <w:rPr>
          <w:rFonts w:hint="eastAsia"/>
        </w:rPr>
        <w:t>团结带领广大残疾人开启中国特色社会主义现代化建设原平新篇章新征程。</w:t>
      </w:r>
    </w:p>
    <w:p>
      <w:pPr>
        <w:pStyle w:val="4"/>
        <w:bidi w:val="0"/>
        <w:rPr>
          <w:rFonts w:hint="eastAsia"/>
        </w:rPr>
      </w:pPr>
      <w:r>
        <w:rPr>
          <w:rFonts w:hint="eastAsia"/>
        </w:rPr>
        <w:t>一、总体要求</w:t>
      </w:r>
    </w:p>
    <w:p>
      <w:pPr>
        <w:pStyle w:val="5"/>
        <w:bidi w:val="0"/>
        <w:rPr>
          <w:rFonts w:hint="eastAsia"/>
        </w:rPr>
      </w:pPr>
      <w:r>
        <w:rPr>
          <w:rFonts w:hint="eastAsia"/>
        </w:rPr>
        <w:t>（一）指导思想</w:t>
      </w:r>
    </w:p>
    <w:p>
      <w:pPr>
        <w:keepNext w:val="0"/>
        <w:keepLines w:val="0"/>
        <w:pageBreakBefore w:val="0"/>
        <w:widowControl w:val="0"/>
        <w:kinsoku/>
        <w:wordWrap/>
        <w:overflowPunct/>
        <w:topLinePunct w:val="0"/>
        <w:autoSpaceDE/>
        <w:autoSpaceDN/>
        <w:bidi w:val="0"/>
        <w:adjustRightInd/>
        <w:snapToGrid w:val="0"/>
        <w:spacing w:line="420" w:lineRule="exact"/>
        <w:textAlignment w:val="auto"/>
      </w:pPr>
      <w:r>
        <w:rPr>
          <w:rFonts w:hint="eastAsia"/>
        </w:rPr>
        <w:t>以习近平新时代中国特色社会主义思想为指导</w:t>
      </w:r>
      <w:r>
        <w:t>,</w:t>
      </w:r>
      <w:r>
        <w:rPr>
          <w:rFonts w:hint="eastAsia"/>
        </w:rPr>
        <w:t>深入贯彻党的十九大和十九届历次全会精神</w:t>
      </w:r>
      <w:r>
        <w:t>,</w:t>
      </w:r>
      <w:r>
        <w:rPr>
          <w:rFonts w:hint="eastAsia"/>
        </w:rPr>
        <w:t>深入贯彻习近平总书记视察山西重要讲话重要指示</w:t>
      </w:r>
      <w:r>
        <w:rPr>
          <w:rFonts w:hint="eastAsia"/>
          <w:lang w:eastAsia="zh-CN"/>
        </w:rPr>
        <w:t>精神</w:t>
      </w:r>
      <w:r>
        <w:t>,</w:t>
      </w:r>
      <w:r>
        <w:rPr>
          <w:rFonts w:hint="eastAsia"/>
        </w:rPr>
        <w:t>坚持以人民为中心的发展思想</w:t>
      </w:r>
      <w:r>
        <w:t>,</w:t>
      </w:r>
      <w:r>
        <w:rPr>
          <w:rFonts w:hint="eastAsia"/>
        </w:rPr>
        <w:t>巩固拓展残疾人脱贫攻坚成果</w:t>
      </w:r>
      <w:r>
        <w:t>,</w:t>
      </w:r>
      <w:r>
        <w:rPr>
          <w:rFonts w:hint="eastAsia"/>
        </w:rPr>
        <w:t>促进残疾人全面发展和共同富裕，推动高质量高速度赶超型跨越式发展成果惠及残疾人。</w:t>
      </w:r>
    </w:p>
    <w:p>
      <w:pPr>
        <w:pStyle w:val="5"/>
        <w:bidi w:val="0"/>
      </w:pPr>
      <w:r>
        <w:rPr>
          <w:rFonts w:hint="eastAsia"/>
        </w:rPr>
        <w:t>（二）基本原则</w:t>
      </w:r>
    </w:p>
    <w:p>
      <w:pPr>
        <w:keepNext w:val="0"/>
        <w:keepLines w:val="0"/>
        <w:pageBreakBefore w:val="0"/>
        <w:widowControl w:val="0"/>
        <w:kinsoku/>
        <w:wordWrap/>
        <w:overflowPunct/>
        <w:topLinePunct w:val="0"/>
        <w:autoSpaceDE/>
        <w:autoSpaceDN/>
        <w:bidi w:val="0"/>
        <w:adjustRightInd/>
        <w:snapToGrid w:val="0"/>
        <w:spacing w:line="420" w:lineRule="exact"/>
        <w:textAlignment w:val="auto"/>
      </w:pPr>
      <w:r>
        <w:rPr>
          <w:rFonts w:hint="eastAsia"/>
        </w:rPr>
        <w:t>坚持党的全面领导。完善党委领导、政府负责的残疾人工作领导体制，为残疾人保障和发展提供坚强的政治保障和组织保障。</w:t>
      </w:r>
    </w:p>
    <w:p>
      <w:pPr>
        <w:keepNext w:val="0"/>
        <w:keepLines w:val="0"/>
        <w:pageBreakBefore w:val="0"/>
        <w:widowControl w:val="0"/>
        <w:kinsoku/>
        <w:wordWrap/>
        <w:overflowPunct/>
        <w:topLinePunct w:val="0"/>
        <w:autoSpaceDE/>
        <w:autoSpaceDN/>
        <w:bidi w:val="0"/>
        <w:adjustRightInd/>
        <w:snapToGrid w:val="0"/>
        <w:spacing w:line="420" w:lineRule="exact"/>
        <w:textAlignment w:val="auto"/>
      </w:pPr>
      <w:r>
        <w:rPr>
          <w:rFonts w:hint="eastAsia"/>
        </w:rPr>
        <w:t>坚持以人民为中心。解决好残疾人最关心、最直接、最现实的利益问题。激发残疾人的积极性、主动性、创造性</w:t>
      </w:r>
      <w:r>
        <w:t>,</w:t>
      </w:r>
      <w:r>
        <w:rPr>
          <w:rFonts w:hint="eastAsia"/>
        </w:rPr>
        <w:t>不断增强残疾人的获得感、幸福感、安全感。</w:t>
      </w:r>
    </w:p>
    <w:p>
      <w:pPr>
        <w:keepNext w:val="0"/>
        <w:keepLines w:val="0"/>
        <w:pageBreakBefore w:val="0"/>
        <w:widowControl w:val="0"/>
        <w:kinsoku/>
        <w:wordWrap/>
        <w:overflowPunct/>
        <w:topLinePunct w:val="0"/>
        <w:autoSpaceDE/>
        <w:autoSpaceDN/>
        <w:bidi w:val="0"/>
        <w:adjustRightInd/>
        <w:snapToGrid w:val="0"/>
        <w:spacing w:line="420" w:lineRule="exact"/>
        <w:textAlignment w:val="auto"/>
      </w:pPr>
      <w:r>
        <w:rPr>
          <w:rFonts w:hint="eastAsia"/>
        </w:rPr>
        <w:t>坚持兜底保障。加快补短板、强弱项、固根基</w:t>
      </w:r>
      <w:r>
        <w:t>,</w:t>
      </w:r>
      <w:r>
        <w:rPr>
          <w:rFonts w:hint="eastAsia"/>
        </w:rPr>
        <w:t>完善残疾人社会福利制度和关爱服务体系</w:t>
      </w:r>
      <w:r>
        <w:t>,</w:t>
      </w:r>
      <w:r>
        <w:rPr>
          <w:rFonts w:hint="eastAsia"/>
        </w:rPr>
        <w:t>兜牢残疾人民生保障安全网</w:t>
      </w:r>
      <w:r>
        <w:t>,</w:t>
      </w:r>
      <w:r>
        <w:rPr>
          <w:rFonts w:hint="eastAsia"/>
        </w:rPr>
        <w:t>促进残疾人共享经济社会发展成果。</w:t>
      </w:r>
    </w:p>
    <w:p>
      <w:pPr>
        <w:keepNext w:val="0"/>
        <w:keepLines w:val="0"/>
        <w:pageBreakBefore w:val="0"/>
        <w:widowControl w:val="0"/>
        <w:kinsoku/>
        <w:wordWrap/>
        <w:overflowPunct/>
        <w:topLinePunct w:val="0"/>
        <w:autoSpaceDE/>
        <w:autoSpaceDN/>
        <w:bidi w:val="0"/>
        <w:adjustRightInd/>
        <w:snapToGrid w:val="0"/>
        <w:spacing w:line="420" w:lineRule="exact"/>
        <w:textAlignment w:val="auto"/>
      </w:pPr>
      <w:r>
        <w:rPr>
          <w:rFonts w:hint="eastAsia"/>
        </w:rPr>
        <w:t>坚持协调发展。发挥政府主导作用和社会力量、市场主体协同作用</w:t>
      </w:r>
      <w:r>
        <w:t>,</w:t>
      </w:r>
      <w:r>
        <w:rPr>
          <w:rFonts w:hint="eastAsia"/>
        </w:rPr>
        <w:t>整合资源、集成政策、优化服务</w:t>
      </w:r>
      <w:r>
        <w:t>,</w:t>
      </w:r>
      <w:r>
        <w:rPr>
          <w:rFonts w:hint="eastAsia"/>
        </w:rPr>
        <w:t>促进残疾人事业更加均衡、更加充分、更可持续。</w:t>
      </w:r>
    </w:p>
    <w:p>
      <w:pPr>
        <w:pStyle w:val="5"/>
        <w:bidi w:val="0"/>
      </w:pPr>
      <w:r>
        <w:rPr>
          <w:rFonts w:hint="eastAsia"/>
        </w:rPr>
        <w:t>（三）主要目标</w:t>
      </w:r>
    </w:p>
    <w:p>
      <w:pPr>
        <w:keepNext w:val="0"/>
        <w:keepLines w:val="0"/>
        <w:pageBreakBefore w:val="0"/>
        <w:widowControl w:val="0"/>
        <w:kinsoku/>
        <w:wordWrap/>
        <w:overflowPunct/>
        <w:topLinePunct w:val="0"/>
        <w:autoSpaceDE/>
        <w:autoSpaceDN/>
        <w:bidi w:val="0"/>
        <w:adjustRightInd/>
        <w:snapToGrid w:val="0"/>
        <w:spacing w:line="420" w:lineRule="exact"/>
        <w:textAlignment w:val="auto"/>
      </w:pPr>
      <w:r>
        <w:rPr>
          <w:rFonts w:hint="eastAsia"/>
        </w:rPr>
        <w:t>到</w:t>
      </w:r>
      <w:r>
        <w:t>2025</w:t>
      </w:r>
      <w:r>
        <w:rPr>
          <w:rFonts w:hint="eastAsia"/>
        </w:rPr>
        <w:t>年</w:t>
      </w:r>
      <w:r>
        <w:t>,</w:t>
      </w:r>
      <w:r>
        <w:rPr>
          <w:rFonts w:hint="eastAsia"/>
        </w:rPr>
        <w:t>残疾人脱贫攻坚成果巩固拓展</w:t>
      </w:r>
      <w:r>
        <w:t>,</w:t>
      </w:r>
      <w:r>
        <w:rPr>
          <w:rFonts w:hint="eastAsia"/>
        </w:rPr>
        <w:t>生活品质得到新改善，民生福祉达到新水平。</w:t>
      </w:r>
    </w:p>
    <w:p>
      <w:pPr>
        <w:keepNext w:val="0"/>
        <w:keepLines w:val="0"/>
        <w:pageBreakBefore w:val="0"/>
        <w:widowControl w:val="0"/>
        <w:kinsoku/>
        <w:wordWrap/>
        <w:overflowPunct/>
        <w:topLinePunct w:val="0"/>
        <w:autoSpaceDE/>
        <w:autoSpaceDN/>
        <w:bidi w:val="0"/>
        <w:adjustRightInd/>
        <w:snapToGrid w:val="0"/>
        <w:spacing w:line="420" w:lineRule="exact"/>
        <w:textAlignment w:val="auto"/>
      </w:pPr>
      <w:r>
        <w:t>——</w:t>
      </w:r>
      <w:r>
        <w:rPr>
          <w:rFonts w:hint="eastAsia"/>
        </w:rPr>
        <w:t>多层次残疾人社会保障体系更加完善。残疾人社会保障水平明显提高，残疾人基本民生得到持续改善，重度残疾人得到更好照护。</w:t>
      </w:r>
    </w:p>
    <w:p>
      <w:pPr>
        <w:keepNext w:val="0"/>
        <w:keepLines w:val="0"/>
        <w:pageBreakBefore w:val="0"/>
        <w:widowControl w:val="0"/>
        <w:kinsoku/>
        <w:wordWrap/>
        <w:overflowPunct/>
        <w:topLinePunct w:val="0"/>
        <w:autoSpaceDE/>
        <w:autoSpaceDN/>
        <w:bidi w:val="0"/>
        <w:adjustRightInd/>
        <w:snapToGrid w:val="0"/>
        <w:spacing w:line="420" w:lineRule="exact"/>
        <w:textAlignment w:val="auto"/>
      </w:pPr>
      <w:r>
        <w:t>——</w:t>
      </w:r>
      <w:r>
        <w:rPr>
          <w:rFonts w:hint="eastAsia"/>
        </w:rPr>
        <w:t>多形式残疾人就业支持体系基本形成。残疾人就业规模不断扩大，残疾人实现高质量就业。</w:t>
      </w:r>
    </w:p>
    <w:p>
      <w:pPr>
        <w:keepNext w:val="0"/>
        <w:keepLines w:val="0"/>
        <w:pageBreakBefore w:val="0"/>
        <w:widowControl w:val="0"/>
        <w:kinsoku/>
        <w:wordWrap/>
        <w:overflowPunct/>
        <w:topLinePunct w:val="0"/>
        <w:autoSpaceDE/>
        <w:autoSpaceDN/>
        <w:bidi w:val="0"/>
        <w:adjustRightInd/>
        <w:snapToGrid w:val="0"/>
        <w:spacing w:line="420" w:lineRule="exact"/>
        <w:textAlignment w:val="auto"/>
      </w:pPr>
      <w:r>
        <w:t>——</w:t>
      </w:r>
      <w:r>
        <w:rPr>
          <w:rFonts w:hint="eastAsia"/>
        </w:rPr>
        <w:t>均等化残疾人基本公共服务体系更加完备。残疾预防和残疾人康复全面加强，残疾人思想道德素养、科学文化素质和身心健康水平明显提高，无障碍社会环境持续优化。</w:t>
      </w:r>
    </w:p>
    <w:p>
      <w:pPr>
        <w:keepNext w:val="0"/>
        <w:keepLines w:val="0"/>
        <w:pageBreakBefore w:val="0"/>
        <w:widowControl w:val="0"/>
        <w:kinsoku/>
        <w:wordWrap/>
        <w:overflowPunct/>
        <w:topLinePunct w:val="0"/>
        <w:autoSpaceDE/>
        <w:autoSpaceDN/>
        <w:bidi w:val="0"/>
        <w:adjustRightInd/>
        <w:snapToGrid w:val="0"/>
        <w:spacing w:line="420" w:lineRule="exact"/>
        <w:textAlignment w:val="auto"/>
      </w:pPr>
      <w:r>
        <w:t>——</w:t>
      </w:r>
      <w:r>
        <w:rPr>
          <w:rFonts w:hint="eastAsia"/>
        </w:rPr>
        <w:t>残疾人事业发展基础更加牢固。残疾人组织建设得到加强，残疾人参与社会能力明显提高，残疾人法治体系更加健全。</w:t>
      </w:r>
    </w:p>
    <w:p>
      <w:pPr>
        <w:keepNext w:val="0"/>
        <w:keepLines w:val="0"/>
        <w:pageBreakBefore w:val="0"/>
        <w:widowControl w:val="0"/>
        <w:kinsoku/>
        <w:wordWrap/>
        <w:overflowPunct/>
        <w:topLinePunct w:val="0"/>
        <w:autoSpaceDE/>
        <w:autoSpaceDN/>
        <w:bidi w:val="0"/>
        <w:adjustRightInd/>
        <w:snapToGrid w:val="0"/>
        <w:spacing w:line="420" w:lineRule="exact"/>
        <w:textAlignment w:val="auto"/>
      </w:pPr>
      <w:r>
        <w:rPr>
          <w:rFonts w:hint="eastAsia"/>
        </w:rPr>
        <w:t>到</w:t>
      </w:r>
      <w:r>
        <w:t>2035</w:t>
      </w:r>
      <w:r>
        <w:rPr>
          <w:rFonts w:hint="eastAsia"/>
        </w:rPr>
        <w:t>年，残疾人事业与全市经济社会协调发展，残疾人物质生活更加宽裕，残疾人精神生活更加丰富，残疾人公共服务体系全面优化，残疾人合法权益得到保障，残疾人融合发展深度推进，基本实现残疾人事业现代化。</w:t>
      </w:r>
    </w:p>
    <w:p>
      <w:pPr>
        <w:pStyle w:val="43"/>
        <w:spacing w:line="400" w:lineRule="exact"/>
        <w:ind w:firstLine="0"/>
        <w:jc w:val="center"/>
        <w:outlineLvl w:val="9"/>
        <w:rPr>
          <w:rFonts w:hint="eastAsia" w:ascii="黑体" w:hAnsi="黑体" w:eastAsia="黑体" w:cs="黑体"/>
          <w:sz w:val="24"/>
          <w:szCs w:val="24"/>
        </w:rPr>
      </w:pPr>
    </w:p>
    <w:p>
      <w:pPr>
        <w:pStyle w:val="43"/>
        <w:spacing w:line="400" w:lineRule="exact"/>
        <w:ind w:firstLine="0"/>
        <w:jc w:val="center"/>
        <w:outlineLvl w:val="9"/>
        <w:rPr>
          <w:rFonts w:hint="eastAsia" w:ascii="黑体" w:hAnsi="黑体" w:eastAsia="黑体" w:cs="黑体"/>
          <w:sz w:val="24"/>
          <w:szCs w:val="24"/>
        </w:rPr>
        <w:sectPr>
          <w:type w:val="continuous"/>
          <w:pgSz w:w="12240" w:h="16498"/>
          <w:pgMar w:top="1145" w:right="1389" w:bottom="1134" w:left="1389" w:header="1043" w:footer="992" w:gutter="0"/>
          <w:pgNumType w:fmt="decimal"/>
          <w:cols w:equalWidth="0" w:num="2">
            <w:col w:w="4518" w:space="425"/>
            <w:col w:w="4518"/>
          </w:cols>
          <w:rtlGutter w:val="0"/>
          <w:docGrid w:type="lines" w:linePitch="312" w:charSpace="0"/>
        </w:sectPr>
      </w:pPr>
    </w:p>
    <w:tbl>
      <w:tblPr>
        <w:tblStyle w:val="18"/>
        <w:tblW w:w="0" w:type="auto"/>
        <w:jc w:val="center"/>
        <w:tblLayout w:type="fixed"/>
        <w:tblCellMar>
          <w:top w:w="0" w:type="dxa"/>
          <w:left w:w="108" w:type="dxa"/>
          <w:bottom w:w="0" w:type="dxa"/>
          <w:right w:w="108" w:type="dxa"/>
        </w:tblCellMar>
      </w:tblPr>
      <w:tblGrid>
        <w:gridCol w:w="1273"/>
        <w:gridCol w:w="5372"/>
        <w:gridCol w:w="1497"/>
        <w:gridCol w:w="1338"/>
      </w:tblGrid>
      <w:tr>
        <w:tblPrEx>
          <w:tblCellMar>
            <w:top w:w="0" w:type="dxa"/>
            <w:left w:w="108" w:type="dxa"/>
            <w:bottom w:w="0" w:type="dxa"/>
            <w:right w:w="108" w:type="dxa"/>
          </w:tblCellMar>
        </w:tblPrEx>
        <w:trPr>
          <w:trHeight w:val="608" w:hRule="exact"/>
          <w:jc w:val="center"/>
        </w:trPr>
        <w:tc>
          <w:tcPr>
            <w:tcW w:w="9480" w:type="dxa"/>
            <w:gridSpan w:val="4"/>
            <w:tcBorders>
              <w:top w:val="single" w:color="auto" w:sz="4" w:space="0"/>
              <w:left w:val="single" w:color="auto" w:sz="4" w:space="0"/>
              <w:right w:val="single" w:color="auto" w:sz="4" w:space="0"/>
            </w:tcBorders>
            <w:shd w:val="clear" w:color="auto" w:fill="FFFFFF"/>
            <w:noWrap w:val="0"/>
            <w:vAlign w:val="center"/>
          </w:tcPr>
          <w:p>
            <w:pPr>
              <w:pStyle w:val="43"/>
              <w:spacing w:line="400" w:lineRule="exact"/>
              <w:ind w:firstLine="0"/>
              <w:jc w:val="center"/>
              <w:outlineLvl w:val="9"/>
              <w:rPr>
                <w:sz w:val="28"/>
                <w:szCs w:val="28"/>
              </w:rPr>
            </w:pPr>
            <w:r>
              <w:rPr>
                <w:rFonts w:hint="eastAsia" w:ascii="黑体" w:hAnsi="黑体" w:eastAsia="黑体" w:cs="黑体"/>
                <w:sz w:val="28"/>
                <w:szCs w:val="28"/>
              </w:rPr>
              <w:t>专栏</w:t>
            </w:r>
            <w:r>
              <w:rPr>
                <w:rFonts w:ascii="黑体" w:hAnsi="黑体" w:eastAsia="黑体" w:cs="黑体"/>
                <w:sz w:val="28"/>
                <w:szCs w:val="28"/>
              </w:rPr>
              <w:t>1</w:t>
            </w:r>
            <w:r>
              <w:rPr>
                <w:rFonts w:hint="eastAsia" w:ascii="黑体" w:hAnsi="黑体" w:eastAsia="黑体" w:cs="黑体"/>
                <w:sz w:val="28"/>
                <w:szCs w:val="28"/>
                <w:lang w:eastAsia="zh-CN"/>
              </w:rPr>
              <w:t xml:space="preserve">  原平</w:t>
            </w:r>
            <w:r>
              <w:rPr>
                <w:rFonts w:hint="eastAsia" w:ascii="黑体" w:hAnsi="黑体" w:eastAsia="黑体" w:cs="黑体"/>
                <w:sz w:val="28"/>
                <w:szCs w:val="28"/>
              </w:rPr>
              <w:t>市</w:t>
            </w:r>
            <w:r>
              <w:rPr>
                <w:rFonts w:hint="eastAsia" w:ascii="黑体" w:hAnsi="黑体" w:eastAsia="黑体" w:cs="黑体"/>
                <w:sz w:val="28"/>
                <w:szCs w:val="28"/>
                <w:lang w:val="zh-CN" w:eastAsia="zh-CN"/>
              </w:rPr>
              <w:t>“十</w:t>
            </w:r>
            <w:r>
              <w:rPr>
                <w:rFonts w:hint="eastAsia" w:ascii="黑体" w:hAnsi="黑体" w:eastAsia="黑体" w:cs="黑体"/>
                <w:sz w:val="28"/>
                <w:szCs w:val="28"/>
              </w:rPr>
              <w:t>四五”残疾人保障和发展主要指标</w:t>
            </w:r>
          </w:p>
        </w:tc>
      </w:tr>
      <w:tr>
        <w:tblPrEx>
          <w:tblCellMar>
            <w:top w:w="0" w:type="dxa"/>
            <w:left w:w="108" w:type="dxa"/>
            <w:bottom w:w="0" w:type="dxa"/>
            <w:right w:w="108" w:type="dxa"/>
          </w:tblCellMar>
        </w:tblPrEx>
        <w:trPr>
          <w:trHeight w:val="603" w:hRule="exact"/>
          <w:jc w:val="center"/>
        </w:trPr>
        <w:tc>
          <w:tcPr>
            <w:tcW w:w="1273" w:type="dxa"/>
            <w:tcBorders>
              <w:top w:val="single" w:color="auto" w:sz="4" w:space="0"/>
              <w:left w:val="single" w:color="auto" w:sz="4" w:space="0"/>
            </w:tcBorders>
            <w:shd w:val="clear" w:color="auto" w:fill="FFFFFF"/>
            <w:noWrap w:val="0"/>
            <w:vAlign w:val="center"/>
          </w:tcPr>
          <w:p>
            <w:pPr>
              <w:pStyle w:val="43"/>
              <w:spacing w:line="400" w:lineRule="exact"/>
              <w:ind w:left="0" w:leftChars="0" w:firstLine="0" w:firstLineChars="0"/>
              <w:jc w:val="center"/>
              <w:outlineLvl w:val="9"/>
              <w:rPr>
                <w:rFonts w:ascii="黑体" w:hAnsi="黑体" w:eastAsia="黑体" w:cs="黑体"/>
                <w:sz w:val="24"/>
                <w:szCs w:val="24"/>
              </w:rPr>
            </w:pPr>
            <w:r>
              <w:rPr>
                <w:rFonts w:hint="eastAsia" w:ascii="黑体" w:hAnsi="黑体" w:eastAsia="黑体" w:cs="黑体"/>
                <w:sz w:val="24"/>
                <w:szCs w:val="24"/>
              </w:rPr>
              <w:t>类别</w:t>
            </w:r>
          </w:p>
        </w:tc>
        <w:tc>
          <w:tcPr>
            <w:tcW w:w="5372" w:type="dxa"/>
            <w:tcBorders>
              <w:top w:val="single" w:color="auto" w:sz="4" w:space="0"/>
              <w:left w:val="single" w:color="auto" w:sz="4" w:space="0"/>
            </w:tcBorders>
            <w:shd w:val="clear" w:color="auto" w:fill="FFFFFF"/>
            <w:noWrap w:val="0"/>
            <w:vAlign w:val="center"/>
          </w:tcPr>
          <w:p>
            <w:pPr>
              <w:pStyle w:val="43"/>
              <w:spacing w:line="400" w:lineRule="exact"/>
              <w:jc w:val="center"/>
              <w:outlineLvl w:val="9"/>
              <w:rPr>
                <w:rFonts w:ascii="黑体" w:hAnsi="黑体" w:eastAsia="黑体" w:cs="黑体"/>
                <w:sz w:val="24"/>
                <w:szCs w:val="24"/>
              </w:rPr>
            </w:pPr>
            <w:r>
              <w:rPr>
                <w:rFonts w:hint="eastAsia" w:ascii="黑体" w:hAnsi="黑体" w:eastAsia="黑体" w:cs="黑体"/>
                <w:sz w:val="24"/>
                <w:szCs w:val="24"/>
              </w:rPr>
              <w:t>指</w:t>
            </w:r>
            <w:r>
              <w:rPr>
                <w:rFonts w:ascii="黑体" w:hAnsi="黑体" w:eastAsia="黑体" w:cs="黑体"/>
                <w:sz w:val="24"/>
                <w:szCs w:val="24"/>
              </w:rPr>
              <w:t xml:space="preserve"> </w:t>
            </w:r>
            <w:r>
              <w:rPr>
                <w:rFonts w:hint="eastAsia" w:ascii="黑体" w:hAnsi="黑体" w:eastAsia="黑体" w:cs="黑体"/>
                <w:sz w:val="24"/>
                <w:szCs w:val="24"/>
              </w:rPr>
              <w:t>标</w:t>
            </w:r>
          </w:p>
        </w:tc>
        <w:tc>
          <w:tcPr>
            <w:tcW w:w="1497" w:type="dxa"/>
            <w:tcBorders>
              <w:top w:val="single" w:color="auto" w:sz="4" w:space="0"/>
              <w:left w:val="single" w:color="auto" w:sz="4" w:space="0"/>
            </w:tcBorders>
            <w:shd w:val="clear" w:color="auto" w:fill="FFFFFF"/>
            <w:noWrap w:val="0"/>
            <w:vAlign w:val="center"/>
          </w:tcPr>
          <w:p>
            <w:pPr>
              <w:pStyle w:val="43"/>
              <w:spacing w:line="400" w:lineRule="exact"/>
              <w:ind w:left="0" w:leftChars="0" w:firstLine="0" w:firstLineChars="0"/>
              <w:jc w:val="center"/>
              <w:outlineLvl w:val="9"/>
              <w:rPr>
                <w:rFonts w:ascii="黑体" w:hAnsi="黑体" w:eastAsia="黑体" w:cs="黑体"/>
                <w:sz w:val="24"/>
                <w:szCs w:val="24"/>
              </w:rPr>
            </w:pPr>
            <w:r>
              <w:rPr>
                <w:rFonts w:ascii="黑体" w:hAnsi="黑体" w:eastAsia="黑体" w:cs="黑体"/>
                <w:sz w:val="24"/>
                <w:szCs w:val="24"/>
              </w:rPr>
              <w:t>2025</w:t>
            </w:r>
            <w:r>
              <w:rPr>
                <w:rFonts w:hint="eastAsia" w:ascii="黑体" w:hAnsi="黑体" w:eastAsia="黑体" w:cs="黑体"/>
                <w:sz w:val="24"/>
                <w:szCs w:val="24"/>
              </w:rPr>
              <w:t>年</w:t>
            </w:r>
          </w:p>
        </w:tc>
        <w:tc>
          <w:tcPr>
            <w:tcW w:w="1338" w:type="dxa"/>
            <w:tcBorders>
              <w:top w:val="single" w:color="auto" w:sz="4" w:space="0"/>
              <w:left w:val="single" w:color="auto" w:sz="4" w:space="0"/>
              <w:right w:val="single" w:color="auto" w:sz="4" w:space="0"/>
            </w:tcBorders>
            <w:shd w:val="clear" w:color="auto" w:fill="FFFFFF"/>
            <w:noWrap w:val="0"/>
            <w:vAlign w:val="center"/>
          </w:tcPr>
          <w:p>
            <w:pPr>
              <w:pStyle w:val="43"/>
              <w:spacing w:line="400" w:lineRule="exact"/>
              <w:ind w:left="0" w:leftChars="0" w:firstLine="0" w:firstLineChars="0"/>
              <w:jc w:val="center"/>
              <w:outlineLvl w:val="9"/>
              <w:rPr>
                <w:rFonts w:ascii="黑体" w:hAnsi="黑体" w:eastAsia="黑体" w:cs="黑体"/>
                <w:sz w:val="24"/>
                <w:szCs w:val="24"/>
              </w:rPr>
            </w:pPr>
            <w:r>
              <w:rPr>
                <w:rFonts w:hint="eastAsia" w:ascii="黑体" w:hAnsi="黑体" w:eastAsia="黑体" w:cs="黑体"/>
                <w:sz w:val="24"/>
                <w:szCs w:val="24"/>
              </w:rPr>
              <w:t>属性</w:t>
            </w:r>
          </w:p>
        </w:tc>
      </w:tr>
      <w:tr>
        <w:tblPrEx>
          <w:tblCellMar>
            <w:top w:w="0" w:type="dxa"/>
            <w:left w:w="108" w:type="dxa"/>
            <w:bottom w:w="0" w:type="dxa"/>
            <w:right w:w="108" w:type="dxa"/>
          </w:tblCellMar>
        </w:tblPrEx>
        <w:trPr>
          <w:trHeight w:val="1164" w:hRule="exact"/>
          <w:jc w:val="center"/>
        </w:trPr>
        <w:tc>
          <w:tcPr>
            <w:tcW w:w="1273" w:type="dxa"/>
            <w:vMerge w:val="restart"/>
            <w:tcBorders>
              <w:top w:val="single" w:color="auto" w:sz="4" w:space="0"/>
              <w:left w:val="single" w:color="auto" w:sz="4" w:space="0"/>
            </w:tcBorders>
            <w:shd w:val="clear" w:color="auto" w:fill="FFFFFF"/>
            <w:noWrap w:val="0"/>
            <w:vAlign w:val="center"/>
          </w:tcPr>
          <w:p>
            <w:pPr>
              <w:pStyle w:val="43"/>
              <w:spacing w:line="400" w:lineRule="exact"/>
              <w:ind w:left="0" w:leftChars="0" w:firstLine="0" w:firstLineChars="0"/>
              <w:jc w:val="center"/>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收入和</w:t>
            </w:r>
          </w:p>
          <w:p>
            <w:pPr>
              <w:pStyle w:val="43"/>
              <w:spacing w:line="400" w:lineRule="exact"/>
              <w:ind w:left="0" w:leftChars="0" w:firstLine="0" w:firstLineChars="0"/>
              <w:jc w:val="center"/>
              <w:outlineLvl w:val="9"/>
              <w:rPr>
                <w:rFonts w:ascii="仿宋_GB2312" w:hAnsi="仿宋_GB2312" w:eastAsia="仿宋_GB2312" w:cs="仿宋_GB2312"/>
                <w:sz w:val="24"/>
                <w:szCs w:val="24"/>
              </w:rPr>
            </w:pPr>
            <w:r>
              <w:rPr>
                <w:rFonts w:hint="eastAsia" w:ascii="仿宋_GB2312" w:hAnsi="仿宋_GB2312" w:eastAsia="仿宋_GB2312" w:cs="仿宋_GB2312"/>
                <w:sz w:val="24"/>
                <w:szCs w:val="24"/>
              </w:rPr>
              <w:t>就业</w:t>
            </w:r>
          </w:p>
        </w:tc>
        <w:tc>
          <w:tcPr>
            <w:tcW w:w="5372" w:type="dxa"/>
            <w:tcBorders>
              <w:top w:val="single" w:color="auto" w:sz="4" w:space="0"/>
              <w:left w:val="single" w:color="auto" w:sz="4" w:space="0"/>
            </w:tcBorders>
            <w:shd w:val="clear" w:color="auto" w:fill="FFFFFF"/>
            <w:noWrap w:val="0"/>
            <w:vAlign w:val="center"/>
          </w:tcPr>
          <w:p>
            <w:pPr>
              <w:pStyle w:val="43"/>
              <w:keepNext w:val="0"/>
              <w:keepLines w:val="0"/>
              <w:pageBreakBefore w:val="0"/>
              <w:widowControl w:val="0"/>
              <w:kinsoku/>
              <w:wordWrap/>
              <w:overflowPunct/>
              <w:topLinePunct w:val="0"/>
              <w:autoSpaceDE/>
              <w:autoSpaceDN/>
              <w:bidi w:val="0"/>
              <w:adjustRightInd/>
              <w:snapToGrid w:val="0"/>
              <w:spacing w:line="400" w:lineRule="exact"/>
              <w:ind w:firstLine="0" w:firstLineChars="0"/>
              <w:jc w:val="both"/>
              <w:textAlignment w:val="auto"/>
              <w:outlineLvl w:val="9"/>
              <w:rPr>
                <w:rFonts w:ascii="仿宋_GB2312" w:hAnsi="仿宋_GB2312" w:eastAsia="仿宋_GB2312" w:cs="仿宋_GB2312"/>
                <w:sz w:val="24"/>
                <w:szCs w:val="24"/>
              </w:rPr>
            </w:pPr>
            <w:r>
              <w:rPr>
                <w:rFonts w:ascii="仿宋_GB2312" w:hAnsi="仿宋_GB2312" w:eastAsia="仿宋_GB2312" w:cs="仿宋_GB2312"/>
                <w:sz w:val="24"/>
                <w:szCs w:val="24"/>
              </w:rPr>
              <w:t>1.</w:t>
            </w:r>
            <w:r>
              <w:rPr>
                <w:rFonts w:hint="eastAsia" w:ascii="仿宋_GB2312" w:hAnsi="仿宋_GB2312" w:eastAsia="仿宋_GB2312" w:cs="仿宋_GB2312"/>
                <w:sz w:val="24"/>
                <w:szCs w:val="24"/>
              </w:rPr>
              <w:t>残疾人家庭人均收入年均增速（</w:t>
            </w:r>
            <w:r>
              <w:rPr>
                <w:rFonts w:ascii="仿宋_GB2312" w:hAnsi="仿宋_GB2312" w:eastAsia="仿宋_GB2312" w:cs="仿宋_GB2312"/>
                <w:sz w:val="24"/>
                <w:szCs w:val="24"/>
              </w:rPr>
              <w:t>%</w:t>
            </w:r>
            <w:r>
              <w:rPr>
                <w:rFonts w:hint="eastAsia" w:ascii="仿宋_GB2312" w:hAnsi="仿宋_GB2312" w:eastAsia="仿宋_GB2312" w:cs="仿宋_GB2312"/>
                <w:sz w:val="24"/>
                <w:szCs w:val="24"/>
              </w:rPr>
              <w:t>）</w:t>
            </w:r>
          </w:p>
        </w:tc>
        <w:tc>
          <w:tcPr>
            <w:tcW w:w="1497" w:type="dxa"/>
            <w:tcBorders>
              <w:top w:val="single" w:color="auto" w:sz="4" w:space="0"/>
              <w:left w:val="single" w:color="auto" w:sz="4" w:space="0"/>
            </w:tcBorders>
            <w:shd w:val="clear" w:color="auto" w:fill="FFFFFF"/>
            <w:noWrap w:val="0"/>
            <w:vAlign w:val="center"/>
          </w:tcPr>
          <w:p>
            <w:pPr>
              <w:pStyle w:val="43"/>
              <w:spacing w:line="400" w:lineRule="exact"/>
              <w:ind w:left="0" w:leftChars="0" w:firstLine="0" w:firstLineChars="0"/>
              <w:jc w:val="center"/>
              <w:outlineLvl w:val="9"/>
              <w:rPr>
                <w:rFonts w:ascii="仿宋_GB2312" w:hAnsi="仿宋_GB2312" w:eastAsia="仿宋_GB2312" w:cs="仿宋_GB2312"/>
                <w:sz w:val="24"/>
                <w:szCs w:val="24"/>
              </w:rPr>
            </w:pPr>
            <w:r>
              <w:rPr>
                <w:rFonts w:hint="eastAsia" w:ascii="仿宋_GB2312" w:hAnsi="仿宋_GB2312" w:eastAsia="仿宋_GB2312" w:cs="仿宋_GB2312"/>
                <w:sz w:val="24"/>
                <w:szCs w:val="24"/>
              </w:rPr>
              <w:t>与全市地区生产总值增长同步</w:t>
            </w:r>
          </w:p>
        </w:tc>
        <w:tc>
          <w:tcPr>
            <w:tcW w:w="1338" w:type="dxa"/>
            <w:tcBorders>
              <w:top w:val="single" w:color="auto" w:sz="4" w:space="0"/>
              <w:left w:val="single" w:color="auto" w:sz="4" w:space="0"/>
              <w:right w:val="single" w:color="auto" w:sz="4" w:space="0"/>
            </w:tcBorders>
            <w:shd w:val="clear" w:color="auto" w:fill="FFFFFF"/>
            <w:noWrap w:val="0"/>
            <w:vAlign w:val="center"/>
          </w:tcPr>
          <w:p>
            <w:pPr>
              <w:pStyle w:val="43"/>
              <w:spacing w:line="400" w:lineRule="exact"/>
              <w:ind w:left="0" w:leftChars="0" w:firstLine="0" w:firstLineChars="0"/>
              <w:jc w:val="center"/>
              <w:outlineLvl w:val="9"/>
              <w:rPr>
                <w:rFonts w:ascii="仿宋_GB2312" w:hAnsi="仿宋_GB2312" w:eastAsia="仿宋_GB2312" w:cs="仿宋_GB2312"/>
                <w:sz w:val="24"/>
                <w:szCs w:val="24"/>
              </w:rPr>
            </w:pPr>
            <w:r>
              <w:rPr>
                <w:rFonts w:hint="eastAsia" w:ascii="仿宋_GB2312" w:hAnsi="仿宋_GB2312" w:eastAsia="仿宋_GB2312" w:cs="仿宋_GB2312"/>
                <w:sz w:val="24"/>
                <w:szCs w:val="24"/>
              </w:rPr>
              <w:t>预期性</w:t>
            </w:r>
          </w:p>
        </w:tc>
      </w:tr>
      <w:tr>
        <w:tblPrEx>
          <w:tblCellMar>
            <w:top w:w="0" w:type="dxa"/>
            <w:left w:w="108" w:type="dxa"/>
            <w:bottom w:w="0" w:type="dxa"/>
            <w:right w:w="108" w:type="dxa"/>
          </w:tblCellMar>
        </w:tblPrEx>
        <w:trPr>
          <w:trHeight w:val="422" w:hRule="exact"/>
          <w:jc w:val="center"/>
        </w:trPr>
        <w:tc>
          <w:tcPr>
            <w:tcW w:w="1273" w:type="dxa"/>
            <w:vMerge w:val="continue"/>
            <w:tcBorders>
              <w:left w:val="single" w:color="auto" w:sz="4" w:space="0"/>
              <w:bottom w:val="single" w:color="auto" w:sz="4" w:space="0"/>
            </w:tcBorders>
            <w:shd w:val="clear" w:color="auto" w:fill="FFFFFF"/>
            <w:noWrap w:val="0"/>
            <w:vAlign w:val="center"/>
          </w:tcPr>
          <w:p>
            <w:pPr>
              <w:spacing w:line="400" w:lineRule="exact"/>
              <w:jc w:val="center"/>
              <w:outlineLvl w:val="9"/>
              <w:rPr>
                <w:sz w:val="24"/>
              </w:rPr>
            </w:pPr>
          </w:p>
        </w:tc>
        <w:tc>
          <w:tcPr>
            <w:tcW w:w="5372" w:type="dxa"/>
            <w:tcBorders>
              <w:top w:val="single" w:color="auto" w:sz="4" w:space="0"/>
              <w:left w:val="single" w:color="auto" w:sz="4" w:space="0"/>
              <w:bottom w:val="single" w:color="auto" w:sz="4" w:space="0"/>
            </w:tcBorders>
            <w:shd w:val="clear" w:color="auto" w:fill="FFFFFF"/>
            <w:noWrap w:val="0"/>
            <w:vAlign w:val="center"/>
          </w:tcPr>
          <w:p>
            <w:pPr>
              <w:pStyle w:val="43"/>
              <w:keepNext w:val="0"/>
              <w:keepLines w:val="0"/>
              <w:pageBreakBefore w:val="0"/>
              <w:widowControl w:val="0"/>
              <w:kinsoku/>
              <w:wordWrap/>
              <w:overflowPunct/>
              <w:topLinePunct w:val="0"/>
              <w:autoSpaceDE/>
              <w:autoSpaceDN/>
              <w:bidi w:val="0"/>
              <w:adjustRightInd/>
              <w:snapToGrid w:val="0"/>
              <w:spacing w:line="400" w:lineRule="exact"/>
              <w:ind w:firstLine="0" w:firstLineChars="0"/>
              <w:jc w:val="both"/>
              <w:textAlignment w:val="auto"/>
              <w:outlineLvl w:val="9"/>
              <w:rPr>
                <w:rFonts w:ascii="仿宋_GB2312" w:hAnsi="仿宋_GB2312" w:eastAsia="仿宋_GB2312" w:cs="仿宋_GB2312"/>
                <w:sz w:val="24"/>
                <w:szCs w:val="24"/>
              </w:rPr>
            </w:pPr>
            <w:r>
              <w:rPr>
                <w:rFonts w:ascii="仿宋_GB2312" w:hAnsi="仿宋_GB2312" w:eastAsia="仿宋_GB2312" w:cs="仿宋_GB2312"/>
                <w:sz w:val="24"/>
                <w:szCs w:val="24"/>
              </w:rPr>
              <w:t>2.</w:t>
            </w:r>
            <w:r>
              <w:rPr>
                <w:rFonts w:hint="eastAsia" w:ascii="仿宋_GB2312" w:hAnsi="仿宋_GB2312" w:eastAsia="仿宋_GB2312" w:cs="仿宋_GB2312"/>
                <w:sz w:val="24"/>
                <w:szCs w:val="24"/>
              </w:rPr>
              <w:t>城乡残疾人职业技能培训人数（人）</w:t>
            </w:r>
          </w:p>
        </w:tc>
        <w:tc>
          <w:tcPr>
            <w:tcW w:w="1497" w:type="dxa"/>
            <w:tcBorders>
              <w:top w:val="single" w:color="auto" w:sz="4" w:space="0"/>
              <w:left w:val="single" w:color="auto" w:sz="4" w:space="0"/>
              <w:bottom w:val="single" w:color="auto" w:sz="4" w:space="0"/>
            </w:tcBorders>
            <w:shd w:val="clear" w:color="auto" w:fill="FFFFFF"/>
            <w:noWrap w:val="0"/>
            <w:vAlign w:val="center"/>
          </w:tcPr>
          <w:p>
            <w:pPr>
              <w:pStyle w:val="43"/>
              <w:spacing w:line="400" w:lineRule="exact"/>
              <w:ind w:left="0" w:leftChars="0" w:firstLine="0" w:firstLineChars="0"/>
              <w:jc w:val="center"/>
              <w:outlineLvl w:val="9"/>
              <w:rPr>
                <w:rFonts w:ascii="仿宋_GB2312" w:hAnsi="仿宋_GB2312" w:eastAsia="仿宋_GB2312" w:cs="仿宋_GB2312"/>
                <w:sz w:val="24"/>
                <w:szCs w:val="24"/>
                <w:lang w:val="en-US" w:eastAsia="zh-CN"/>
              </w:rPr>
            </w:pPr>
            <w:r>
              <w:rPr>
                <w:rFonts w:ascii="仿宋_GB2312" w:hAnsi="仿宋_GB2312" w:eastAsia="仿宋_GB2312" w:cs="仿宋_GB2312"/>
                <w:sz w:val="24"/>
                <w:szCs w:val="24"/>
                <w:lang w:val="en-US" w:eastAsia="zh-CN"/>
              </w:rPr>
              <w:t>550</w:t>
            </w:r>
          </w:p>
        </w:tc>
        <w:tc>
          <w:tcPr>
            <w:tcW w:w="133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43"/>
              <w:spacing w:line="400" w:lineRule="exact"/>
              <w:ind w:left="0" w:leftChars="0" w:firstLine="0" w:firstLineChars="0"/>
              <w:jc w:val="center"/>
              <w:outlineLvl w:val="9"/>
              <w:rPr>
                <w:rFonts w:ascii="仿宋_GB2312" w:hAnsi="仿宋_GB2312" w:eastAsia="仿宋_GB2312" w:cs="仿宋_GB2312"/>
                <w:sz w:val="24"/>
                <w:szCs w:val="24"/>
              </w:rPr>
            </w:pPr>
            <w:r>
              <w:rPr>
                <w:rFonts w:hint="eastAsia" w:ascii="仿宋_GB2312" w:hAnsi="仿宋_GB2312" w:eastAsia="仿宋_GB2312" w:cs="仿宋_GB2312"/>
                <w:sz w:val="24"/>
                <w:szCs w:val="24"/>
              </w:rPr>
              <w:t>预期性</w:t>
            </w:r>
          </w:p>
        </w:tc>
      </w:tr>
      <w:tr>
        <w:tblPrEx>
          <w:tblCellMar>
            <w:top w:w="0" w:type="dxa"/>
            <w:left w:w="108" w:type="dxa"/>
            <w:bottom w:w="0" w:type="dxa"/>
            <w:right w:w="108" w:type="dxa"/>
          </w:tblCellMar>
        </w:tblPrEx>
        <w:trPr>
          <w:trHeight w:val="527" w:hRule="exact"/>
          <w:jc w:val="center"/>
        </w:trPr>
        <w:tc>
          <w:tcPr>
            <w:tcW w:w="1273" w:type="dxa"/>
            <w:vMerge w:val="restart"/>
            <w:tcBorders>
              <w:top w:val="single" w:color="auto" w:sz="4" w:space="0"/>
              <w:left w:val="single" w:color="auto" w:sz="4" w:space="0"/>
            </w:tcBorders>
            <w:shd w:val="clear" w:color="auto" w:fill="FFFFFF"/>
            <w:noWrap w:val="0"/>
            <w:vAlign w:val="center"/>
          </w:tcPr>
          <w:p>
            <w:pPr>
              <w:pStyle w:val="43"/>
              <w:spacing w:line="400" w:lineRule="exact"/>
              <w:ind w:left="0" w:leftChars="0" w:firstLine="0" w:firstLineChars="0"/>
              <w:jc w:val="center"/>
              <w:outlineLvl w:val="9"/>
              <w:rPr>
                <w:rFonts w:ascii="仿宋_GB2312" w:hAnsi="仿宋_GB2312" w:eastAsia="仿宋_GB2312" w:cs="仿宋_GB2312"/>
                <w:sz w:val="24"/>
                <w:szCs w:val="24"/>
              </w:rPr>
            </w:pPr>
            <w:r>
              <w:rPr>
                <w:rFonts w:hint="eastAsia" w:ascii="仿宋_GB2312" w:hAnsi="仿宋_GB2312" w:eastAsia="仿宋_GB2312" w:cs="仿宋_GB2312"/>
                <w:sz w:val="24"/>
                <w:szCs w:val="24"/>
              </w:rPr>
              <w:t>社会保障和基本公共服务</w:t>
            </w:r>
          </w:p>
        </w:tc>
        <w:tc>
          <w:tcPr>
            <w:tcW w:w="5372" w:type="dxa"/>
            <w:tcBorders>
              <w:top w:val="single" w:color="auto" w:sz="4" w:space="0"/>
              <w:left w:val="single" w:color="auto" w:sz="4" w:space="0"/>
            </w:tcBorders>
            <w:shd w:val="clear" w:color="auto" w:fill="FFFFFF"/>
            <w:noWrap w:val="0"/>
            <w:vAlign w:val="center"/>
          </w:tcPr>
          <w:p>
            <w:pPr>
              <w:pStyle w:val="43"/>
              <w:keepNext w:val="0"/>
              <w:keepLines w:val="0"/>
              <w:pageBreakBefore w:val="0"/>
              <w:widowControl w:val="0"/>
              <w:kinsoku/>
              <w:wordWrap/>
              <w:overflowPunct/>
              <w:topLinePunct w:val="0"/>
              <w:autoSpaceDE/>
              <w:autoSpaceDN/>
              <w:bidi w:val="0"/>
              <w:adjustRightInd/>
              <w:snapToGrid w:val="0"/>
              <w:spacing w:line="400" w:lineRule="exact"/>
              <w:ind w:firstLine="0" w:firstLineChars="0"/>
              <w:jc w:val="both"/>
              <w:textAlignment w:val="auto"/>
              <w:outlineLvl w:val="9"/>
              <w:rPr>
                <w:rFonts w:ascii="仿宋_GB2312" w:hAnsi="仿宋_GB2312" w:eastAsia="仿宋_GB2312" w:cs="仿宋_GB2312"/>
                <w:sz w:val="24"/>
                <w:szCs w:val="24"/>
              </w:rPr>
            </w:pPr>
            <w:r>
              <w:rPr>
                <w:rFonts w:ascii="仿宋_GB2312" w:hAnsi="仿宋_GB2312" w:eastAsia="仿宋_GB2312" w:cs="仿宋_GB2312"/>
                <w:sz w:val="24"/>
                <w:szCs w:val="24"/>
                <w:lang w:val="en-US" w:eastAsia="en-US"/>
              </w:rPr>
              <w:t>3.</w:t>
            </w:r>
            <w:r>
              <w:rPr>
                <w:rFonts w:hint="eastAsia" w:ascii="仿宋_GB2312" w:hAnsi="仿宋_GB2312" w:eastAsia="仿宋_GB2312" w:cs="仿宋_GB2312"/>
                <w:sz w:val="24"/>
                <w:szCs w:val="24"/>
              </w:rPr>
              <w:t>符合条件的残疾人纳入最低生活保障比例（</w:t>
            </w:r>
            <w:r>
              <w:rPr>
                <w:rFonts w:ascii="仿宋_GB2312" w:hAnsi="仿宋_GB2312" w:eastAsia="仿宋_GB2312" w:cs="仿宋_GB2312"/>
                <w:sz w:val="24"/>
                <w:szCs w:val="24"/>
              </w:rPr>
              <w:t>%</w:t>
            </w:r>
            <w:r>
              <w:rPr>
                <w:rFonts w:hint="eastAsia" w:ascii="仿宋_GB2312" w:hAnsi="仿宋_GB2312" w:eastAsia="仿宋_GB2312" w:cs="仿宋_GB2312"/>
                <w:sz w:val="24"/>
                <w:szCs w:val="24"/>
              </w:rPr>
              <w:t>）</w:t>
            </w:r>
          </w:p>
        </w:tc>
        <w:tc>
          <w:tcPr>
            <w:tcW w:w="1497" w:type="dxa"/>
            <w:tcBorders>
              <w:top w:val="single" w:color="auto" w:sz="4" w:space="0"/>
              <w:left w:val="single" w:color="auto" w:sz="4" w:space="0"/>
            </w:tcBorders>
            <w:shd w:val="clear" w:color="auto" w:fill="FFFFFF"/>
            <w:noWrap w:val="0"/>
            <w:vAlign w:val="center"/>
          </w:tcPr>
          <w:p>
            <w:pPr>
              <w:pStyle w:val="43"/>
              <w:spacing w:line="400" w:lineRule="exact"/>
              <w:ind w:left="0" w:leftChars="0" w:firstLine="0" w:firstLineChars="0"/>
              <w:jc w:val="center"/>
              <w:outlineLvl w:val="9"/>
              <w:rPr>
                <w:rFonts w:ascii="仿宋_GB2312" w:hAnsi="仿宋_GB2312" w:eastAsia="仿宋_GB2312" w:cs="仿宋_GB2312"/>
                <w:sz w:val="24"/>
                <w:szCs w:val="24"/>
              </w:rPr>
            </w:pPr>
            <w:r>
              <w:rPr>
                <w:rFonts w:ascii="仿宋_GB2312" w:hAnsi="仿宋_GB2312" w:eastAsia="仿宋_GB2312" w:cs="仿宋_GB2312"/>
                <w:sz w:val="24"/>
                <w:szCs w:val="24"/>
              </w:rPr>
              <w:t>100</w:t>
            </w:r>
          </w:p>
        </w:tc>
        <w:tc>
          <w:tcPr>
            <w:tcW w:w="1338" w:type="dxa"/>
            <w:tcBorders>
              <w:top w:val="single" w:color="auto" w:sz="4" w:space="0"/>
              <w:left w:val="single" w:color="auto" w:sz="4" w:space="0"/>
              <w:right w:val="single" w:color="auto" w:sz="4" w:space="0"/>
            </w:tcBorders>
            <w:shd w:val="clear" w:color="auto" w:fill="FFFFFF"/>
            <w:noWrap w:val="0"/>
            <w:vAlign w:val="center"/>
          </w:tcPr>
          <w:p>
            <w:pPr>
              <w:pStyle w:val="43"/>
              <w:spacing w:line="400" w:lineRule="exact"/>
              <w:ind w:left="0" w:leftChars="0" w:firstLine="0" w:firstLineChars="0"/>
              <w:jc w:val="center"/>
              <w:outlineLvl w:val="9"/>
              <w:rPr>
                <w:rFonts w:ascii="仿宋_GB2312" w:hAnsi="仿宋_GB2312" w:eastAsia="仿宋_GB2312" w:cs="仿宋_GB2312"/>
                <w:sz w:val="24"/>
                <w:szCs w:val="24"/>
              </w:rPr>
            </w:pPr>
            <w:r>
              <w:rPr>
                <w:rFonts w:hint="eastAsia" w:ascii="仿宋_GB2312" w:hAnsi="仿宋_GB2312" w:eastAsia="仿宋_GB2312" w:cs="仿宋_GB2312"/>
                <w:sz w:val="24"/>
                <w:szCs w:val="24"/>
              </w:rPr>
              <w:t>约束性</w:t>
            </w:r>
          </w:p>
        </w:tc>
      </w:tr>
      <w:tr>
        <w:tblPrEx>
          <w:tblCellMar>
            <w:top w:w="0" w:type="dxa"/>
            <w:left w:w="108" w:type="dxa"/>
            <w:bottom w:w="0" w:type="dxa"/>
            <w:right w:w="108" w:type="dxa"/>
          </w:tblCellMar>
        </w:tblPrEx>
        <w:trPr>
          <w:trHeight w:val="433" w:hRule="exact"/>
          <w:jc w:val="center"/>
        </w:trPr>
        <w:tc>
          <w:tcPr>
            <w:tcW w:w="1273" w:type="dxa"/>
            <w:vMerge w:val="continue"/>
            <w:tcBorders>
              <w:left w:val="single" w:color="auto" w:sz="4" w:space="0"/>
            </w:tcBorders>
            <w:shd w:val="clear" w:color="auto" w:fill="FFFFFF"/>
            <w:noWrap w:val="0"/>
            <w:vAlign w:val="top"/>
          </w:tcPr>
          <w:p>
            <w:pPr>
              <w:spacing w:line="400" w:lineRule="exact"/>
              <w:outlineLvl w:val="9"/>
              <w:rPr>
                <w:rFonts w:ascii="仿宋_GB2312" w:hAnsi="仿宋_GB2312" w:eastAsia="仿宋_GB2312" w:cs="仿宋_GB2312"/>
                <w:sz w:val="24"/>
              </w:rPr>
            </w:pPr>
          </w:p>
        </w:tc>
        <w:tc>
          <w:tcPr>
            <w:tcW w:w="5372" w:type="dxa"/>
            <w:tcBorders>
              <w:top w:val="single" w:color="auto" w:sz="4" w:space="0"/>
              <w:left w:val="single" w:color="auto" w:sz="4" w:space="0"/>
            </w:tcBorders>
            <w:shd w:val="clear" w:color="auto" w:fill="FFFFFF"/>
            <w:noWrap w:val="0"/>
            <w:vAlign w:val="center"/>
          </w:tcPr>
          <w:p>
            <w:pPr>
              <w:pStyle w:val="43"/>
              <w:keepNext w:val="0"/>
              <w:keepLines w:val="0"/>
              <w:pageBreakBefore w:val="0"/>
              <w:widowControl w:val="0"/>
              <w:kinsoku/>
              <w:wordWrap/>
              <w:overflowPunct/>
              <w:topLinePunct w:val="0"/>
              <w:autoSpaceDE/>
              <w:autoSpaceDN/>
              <w:bidi w:val="0"/>
              <w:adjustRightInd/>
              <w:snapToGrid w:val="0"/>
              <w:spacing w:line="400" w:lineRule="exact"/>
              <w:ind w:firstLine="0" w:firstLineChars="0"/>
              <w:jc w:val="both"/>
              <w:textAlignment w:val="auto"/>
              <w:outlineLvl w:val="9"/>
              <w:rPr>
                <w:rFonts w:ascii="仿宋_GB2312" w:hAnsi="仿宋_GB2312" w:eastAsia="仿宋_GB2312" w:cs="仿宋_GB2312"/>
                <w:sz w:val="24"/>
                <w:szCs w:val="24"/>
              </w:rPr>
            </w:pPr>
            <w:r>
              <w:rPr>
                <w:rFonts w:ascii="仿宋_GB2312" w:hAnsi="仿宋_GB2312" w:eastAsia="仿宋_GB2312" w:cs="仿宋_GB2312"/>
                <w:sz w:val="24"/>
                <w:szCs w:val="24"/>
              </w:rPr>
              <w:t>4.</w:t>
            </w:r>
            <w:r>
              <w:rPr>
                <w:rFonts w:hint="eastAsia" w:ascii="仿宋_GB2312" w:hAnsi="仿宋_GB2312" w:eastAsia="仿宋_GB2312" w:cs="仿宋_GB2312"/>
                <w:sz w:val="24"/>
                <w:szCs w:val="24"/>
              </w:rPr>
              <w:t>困难残疾人生活补贴覆盖率（</w:t>
            </w:r>
            <w:r>
              <w:rPr>
                <w:rFonts w:ascii="仿宋_GB2312" w:hAnsi="仿宋_GB2312" w:eastAsia="仿宋_GB2312" w:cs="仿宋_GB2312"/>
                <w:sz w:val="24"/>
                <w:szCs w:val="24"/>
              </w:rPr>
              <w:t>%</w:t>
            </w:r>
            <w:r>
              <w:rPr>
                <w:rFonts w:hint="eastAsia" w:ascii="仿宋_GB2312" w:hAnsi="仿宋_GB2312" w:eastAsia="仿宋_GB2312" w:cs="仿宋_GB2312"/>
                <w:sz w:val="24"/>
                <w:szCs w:val="24"/>
              </w:rPr>
              <w:t>）</w:t>
            </w:r>
          </w:p>
        </w:tc>
        <w:tc>
          <w:tcPr>
            <w:tcW w:w="1497" w:type="dxa"/>
            <w:tcBorders>
              <w:top w:val="single" w:color="auto" w:sz="4" w:space="0"/>
              <w:left w:val="single" w:color="auto" w:sz="4" w:space="0"/>
            </w:tcBorders>
            <w:shd w:val="clear" w:color="auto" w:fill="FFFFFF"/>
            <w:noWrap w:val="0"/>
            <w:vAlign w:val="center"/>
          </w:tcPr>
          <w:p>
            <w:pPr>
              <w:pStyle w:val="43"/>
              <w:spacing w:line="400" w:lineRule="exact"/>
              <w:ind w:left="0" w:leftChars="0" w:firstLine="0" w:firstLineChars="0"/>
              <w:jc w:val="center"/>
              <w:outlineLvl w:val="9"/>
              <w:rPr>
                <w:rFonts w:ascii="仿宋_GB2312" w:hAnsi="仿宋_GB2312" w:eastAsia="仿宋_GB2312" w:cs="仿宋_GB2312"/>
                <w:sz w:val="24"/>
                <w:szCs w:val="24"/>
              </w:rPr>
            </w:pPr>
            <w:r>
              <w:rPr>
                <w:rFonts w:ascii="仿宋_GB2312" w:hAnsi="仿宋_GB2312" w:eastAsia="仿宋_GB2312" w:cs="仿宋_GB2312"/>
                <w:sz w:val="24"/>
                <w:szCs w:val="24"/>
              </w:rPr>
              <w:t>100</w:t>
            </w:r>
          </w:p>
        </w:tc>
        <w:tc>
          <w:tcPr>
            <w:tcW w:w="1338" w:type="dxa"/>
            <w:tcBorders>
              <w:top w:val="single" w:color="auto" w:sz="4" w:space="0"/>
              <w:left w:val="single" w:color="auto" w:sz="4" w:space="0"/>
              <w:right w:val="single" w:color="auto" w:sz="4" w:space="0"/>
            </w:tcBorders>
            <w:shd w:val="clear" w:color="auto" w:fill="FFFFFF"/>
            <w:noWrap w:val="0"/>
            <w:vAlign w:val="center"/>
          </w:tcPr>
          <w:p>
            <w:pPr>
              <w:pStyle w:val="43"/>
              <w:spacing w:line="400" w:lineRule="exact"/>
              <w:ind w:left="0" w:leftChars="0" w:firstLine="0" w:firstLineChars="0"/>
              <w:jc w:val="center"/>
              <w:outlineLvl w:val="9"/>
              <w:rPr>
                <w:rFonts w:ascii="仿宋_GB2312" w:hAnsi="仿宋_GB2312" w:eastAsia="仿宋_GB2312" w:cs="仿宋_GB2312"/>
                <w:sz w:val="24"/>
                <w:szCs w:val="24"/>
              </w:rPr>
            </w:pPr>
            <w:r>
              <w:rPr>
                <w:rFonts w:hint="eastAsia" w:ascii="仿宋_GB2312" w:hAnsi="仿宋_GB2312" w:eastAsia="仿宋_GB2312" w:cs="仿宋_GB2312"/>
                <w:sz w:val="24"/>
                <w:szCs w:val="24"/>
              </w:rPr>
              <w:t>约束性</w:t>
            </w:r>
          </w:p>
        </w:tc>
      </w:tr>
      <w:tr>
        <w:tblPrEx>
          <w:tblCellMar>
            <w:top w:w="0" w:type="dxa"/>
            <w:left w:w="108" w:type="dxa"/>
            <w:bottom w:w="0" w:type="dxa"/>
            <w:right w:w="108" w:type="dxa"/>
          </w:tblCellMar>
        </w:tblPrEx>
        <w:trPr>
          <w:trHeight w:val="443" w:hRule="exact"/>
          <w:jc w:val="center"/>
        </w:trPr>
        <w:tc>
          <w:tcPr>
            <w:tcW w:w="1273" w:type="dxa"/>
            <w:vMerge w:val="continue"/>
            <w:tcBorders>
              <w:left w:val="single" w:color="auto" w:sz="4" w:space="0"/>
            </w:tcBorders>
            <w:shd w:val="clear" w:color="auto" w:fill="FFFFFF"/>
            <w:noWrap w:val="0"/>
            <w:vAlign w:val="top"/>
          </w:tcPr>
          <w:p>
            <w:pPr>
              <w:spacing w:line="400" w:lineRule="exact"/>
              <w:outlineLvl w:val="9"/>
              <w:rPr>
                <w:rFonts w:ascii="仿宋_GB2312" w:hAnsi="仿宋_GB2312" w:eastAsia="仿宋_GB2312" w:cs="仿宋_GB2312"/>
                <w:sz w:val="24"/>
              </w:rPr>
            </w:pPr>
          </w:p>
        </w:tc>
        <w:tc>
          <w:tcPr>
            <w:tcW w:w="5372" w:type="dxa"/>
            <w:tcBorders>
              <w:top w:val="single" w:color="auto" w:sz="4" w:space="0"/>
              <w:left w:val="single" w:color="auto" w:sz="4" w:space="0"/>
            </w:tcBorders>
            <w:shd w:val="clear" w:color="auto" w:fill="FFFFFF"/>
            <w:noWrap w:val="0"/>
            <w:vAlign w:val="center"/>
          </w:tcPr>
          <w:p>
            <w:pPr>
              <w:pStyle w:val="43"/>
              <w:keepNext w:val="0"/>
              <w:keepLines w:val="0"/>
              <w:pageBreakBefore w:val="0"/>
              <w:widowControl w:val="0"/>
              <w:kinsoku/>
              <w:wordWrap/>
              <w:overflowPunct/>
              <w:topLinePunct w:val="0"/>
              <w:autoSpaceDE/>
              <w:autoSpaceDN/>
              <w:bidi w:val="0"/>
              <w:adjustRightInd/>
              <w:snapToGrid w:val="0"/>
              <w:spacing w:line="400" w:lineRule="exact"/>
              <w:ind w:firstLine="0" w:firstLineChars="0"/>
              <w:textAlignment w:val="auto"/>
              <w:outlineLvl w:val="9"/>
              <w:rPr>
                <w:rFonts w:ascii="仿宋_GB2312" w:hAnsi="仿宋_GB2312" w:eastAsia="仿宋_GB2312" w:cs="仿宋_GB2312"/>
                <w:sz w:val="24"/>
                <w:szCs w:val="24"/>
              </w:rPr>
            </w:pPr>
            <w:r>
              <w:rPr>
                <w:rFonts w:ascii="仿宋_GB2312" w:hAnsi="仿宋_GB2312" w:eastAsia="仿宋_GB2312" w:cs="仿宋_GB2312"/>
                <w:sz w:val="24"/>
                <w:szCs w:val="24"/>
              </w:rPr>
              <w:t>5.</w:t>
            </w:r>
            <w:r>
              <w:rPr>
                <w:rFonts w:hint="eastAsia" w:ascii="仿宋_GB2312" w:hAnsi="仿宋_GB2312" w:eastAsia="仿宋_GB2312" w:cs="仿宋_GB2312"/>
                <w:sz w:val="24"/>
                <w:szCs w:val="24"/>
              </w:rPr>
              <w:t>重度残疾人护理补贴覆盖率（</w:t>
            </w:r>
            <w:r>
              <w:rPr>
                <w:rFonts w:ascii="仿宋_GB2312" w:hAnsi="仿宋_GB2312" w:eastAsia="仿宋_GB2312" w:cs="仿宋_GB2312"/>
                <w:sz w:val="24"/>
                <w:szCs w:val="24"/>
              </w:rPr>
              <w:t>%</w:t>
            </w:r>
            <w:r>
              <w:rPr>
                <w:rFonts w:hint="eastAsia" w:ascii="仿宋_GB2312" w:hAnsi="仿宋_GB2312" w:eastAsia="仿宋_GB2312" w:cs="仿宋_GB2312"/>
                <w:sz w:val="24"/>
                <w:szCs w:val="24"/>
              </w:rPr>
              <w:t>）</w:t>
            </w:r>
          </w:p>
        </w:tc>
        <w:tc>
          <w:tcPr>
            <w:tcW w:w="1497" w:type="dxa"/>
            <w:tcBorders>
              <w:top w:val="single" w:color="auto" w:sz="4" w:space="0"/>
              <w:left w:val="single" w:color="auto" w:sz="4" w:space="0"/>
            </w:tcBorders>
            <w:shd w:val="clear" w:color="auto" w:fill="FFFFFF"/>
            <w:noWrap w:val="0"/>
            <w:vAlign w:val="center"/>
          </w:tcPr>
          <w:p>
            <w:pPr>
              <w:pStyle w:val="43"/>
              <w:spacing w:line="400" w:lineRule="exact"/>
              <w:ind w:left="0" w:leftChars="0" w:firstLine="0" w:firstLineChars="0"/>
              <w:jc w:val="center"/>
              <w:outlineLvl w:val="9"/>
              <w:rPr>
                <w:rFonts w:ascii="仿宋_GB2312" w:hAnsi="仿宋_GB2312" w:eastAsia="仿宋_GB2312" w:cs="仿宋_GB2312"/>
                <w:sz w:val="24"/>
                <w:szCs w:val="24"/>
              </w:rPr>
            </w:pPr>
            <w:r>
              <w:rPr>
                <w:rFonts w:ascii="仿宋_GB2312" w:hAnsi="仿宋_GB2312" w:eastAsia="仿宋_GB2312" w:cs="仿宋_GB2312"/>
                <w:sz w:val="24"/>
                <w:szCs w:val="24"/>
              </w:rPr>
              <w:t>100</w:t>
            </w:r>
          </w:p>
        </w:tc>
        <w:tc>
          <w:tcPr>
            <w:tcW w:w="1338" w:type="dxa"/>
            <w:tcBorders>
              <w:top w:val="single" w:color="auto" w:sz="4" w:space="0"/>
              <w:left w:val="single" w:color="auto" w:sz="4" w:space="0"/>
              <w:right w:val="single" w:color="auto" w:sz="4" w:space="0"/>
            </w:tcBorders>
            <w:shd w:val="clear" w:color="auto" w:fill="FFFFFF"/>
            <w:noWrap w:val="0"/>
            <w:vAlign w:val="center"/>
          </w:tcPr>
          <w:p>
            <w:pPr>
              <w:pStyle w:val="43"/>
              <w:spacing w:line="400" w:lineRule="exact"/>
              <w:ind w:left="0" w:leftChars="0" w:firstLine="0" w:firstLineChars="0"/>
              <w:jc w:val="center"/>
              <w:outlineLvl w:val="9"/>
              <w:rPr>
                <w:rFonts w:ascii="仿宋_GB2312" w:hAnsi="仿宋_GB2312" w:eastAsia="仿宋_GB2312" w:cs="仿宋_GB2312"/>
                <w:sz w:val="24"/>
                <w:szCs w:val="24"/>
              </w:rPr>
            </w:pPr>
            <w:r>
              <w:rPr>
                <w:rFonts w:hint="eastAsia" w:ascii="仿宋_GB2312" w:hAnsi="仿宋_GB2312" w:eastAsia="仿宋_GB2312" w:cs="仿宋_GB2312"/>
                <w:sz w:val="24"/>
                <w:szCs w:val="24"/>
              </w:rPr>
              <w:t>约束性</w:t>
            </w:r>
          </w:p>
        </w:tc>
      </w:tr>
      <w:tr>
        <w:tblPrEx>
          <w:tblCellMar>
            <w:top w:w="0" w:type="dxa"/>
            <w:left w:w="108" w:type="dxa"/>
            <w:bottom w:w="0" w:type="dxa"/>
            <w:right w:w="108" w:type="dxa"/>
          </w:tblCellMar>
        </w:tblPrEx>
        <w:trPr>
          <w:trHeight w:val="547" w:hRule="exact"/>
          <w:jc w:val="center"/>
        </w:trPr>
        <w:tc>
          <w:tcPr>
            <w:tcW w:w="1273" w:type="dxa"/>
            <w:vMerge w:val="continue"/>
            <w:tcBorders>
              <w:left w:val="single" w:color="auto" w:sz="4" w:space="0"/>
            </w:tcBorders>
            <w:shd w:val="clear" w:color="auto" w:fill="FFFFFF"/>
            <w:noWrap w:val="0"/>
            <w:vAlign w:val="top"/>
          </w:tcPr>
          <w:p>
            <w:pPr>
              <w:spacing w:line="400" w:lineRule="exact"/>
              <w:outlineLvl w:val="9"/>
              <w:rPr>
                <w:rFonts w:ascii="仿宋_GB2312" w:hAnsi="仿宋_GB2312" w:eastAsia="仿宋_GB2312" w:cs="仿宋_GB2312"/>
                <w:sz w:val="24"/>
              </w:rPr>
            </w:pPr>
          </w:p>
        </w:tc>
        <w:tc>
          <w:tcPr>
            <w:tcW w:w="5372" w:type="dxa"/>
            <w:tcBorders>
              <w:top w:val="single" w:color="auto" w:sz="4" w:space="0"/>
              <w:left w:val="single" w:color="auto" w:sz="4" w:space="0"/>
            </w:tcBorders>
            <w:shd w:val="clear" w:color="auto" w:fill="FFFFFF"/>
            <w:noWrap w:val="0"/>
            <w:vAlign w:val="center"/>
          </w:tcPr>
          <w:p>
            <w:pPr>
              <w:pStyle w:val="43"/>
              <w:keepNext w:val="0"/>
              <w:keepLines w:val="0"/>
              <w:pageBreakBefore w:val="0"/>
              <w:widowControl w:val="0"/>
              <w:kinsoku/>
              <w:wordWrap/>
              <w:overflowPunct/>
              <w:topLinePunct w:val="0"/>
              <w:autoSpaceDE/>
              <w:autoSpaceDN/>
              <w:bidi w:val="0"/>
              <w:adjustRightInd/>
              <w:snapToGrid w:val="0"/>
              <w:spacing w:line="400" w:lineRule="exact"/>
              <w:ind w:firstLine="0" w:firstLineChars="0"/>
              <w:textAlignment w:val="auto"/>
              <w:outlineLvl w:val="9"/>
              <w:rPr>
                <w:rFonts w:ascii="仿宋_GB2312" w:hAnsi="仿宋_GB2312" w:eastAsia="仿宋_GB2312" w:cs="仿宋_GB2312"/>
                <w:sz w:val="24"/>
                <w:szCs w:val="24"/>
              </w:rPr>
            </w:pPr>
            <w:r>
              <w:rPr>
                <w:rFonts w:ascii="仿宋_GB2312" w:hAnsi="仿宋_GB2312" w:eastAsia="仿宋_GB2312" w:cs="仿宋_GB2312"/>
                <w:sz w:val="24"/>
                <w:szCs w:val="24"/>
              </w:rPr>
              <w:t>6.</w:t>
            </w:r>
            <w:r>
              <w:rPr>
                <w:rFonts w:hint="eastAsia" w:ascii="仿宋_GB2312" w:hAnsi="仿宋_GB2312" w:eastAsia="仿宋_GB2312" w:cs="仿宋_GB2312"/>
                <w:sz w:val="24"/>
                <w:szCs w:val="24"/>
              </w:rPr>
              <w:t>残疾人城乡居民基本养老保险参保率（</w:t>
            </w:r>
            <w:r>
              <w:rPr>
                <w:rFonts w:ascii="仿宋_GB2312" w:hAnsi="仿宋_GB2312" w:eastAsia="仿宋_GB2312" w:cs="仿宋_GB2312"/>
                <w:sz w:val="24"/>
                <w:szCs w:val="24"/>
              </w:rPr>
              <w:t>%</w:t>
            </w:r>
            <w:r>
              <w:rPr>
                <w:rFonts w:hint="eastAsia" w:ascii="仿宋_GB2312" w:hAnsi="仿宋_GB2312" w:eastAsia="仿宋_GB2312" w:cs="仿宋_GB2312"/>
                <w:sz w:val="24"/>
                <w:szCs w:val="24"/>
              </w:rPr>
              <w:t>）</w:t>
            </w:r>
          </w:p>
        </w:tc>
        <w:tc>
          <w:tcPr>
            <w:tcW w:w="1497" w:type="dxa"/>
            <w:tcBorders>
              <w:top w:val="single" w:color="auto" w:sz="4" w:space="0"/>
              <w:left w:val="single" w:color="auto" w:sz="4" w:space="0"/>
            </w:tcBorders>
            <w:shd w:val="clear" w:color="auto" w:fill="FFFFFF"/>
            <w:noWrap w:val="0"/>
            <w:vAlign w:val="center"/>
          </w:tcPr>
          <w:p>
            <w:pPr>
              <w:pStyle w:val="43"/>
              <w:spacing w:line="400" w:lineRule="exact"/>
              <w:ind w:left="0" w:leftChars="0" w:firstLine="0" w:firstLineChars="0"/>
              <w:jc w:val="center"/>
              <w:outlineLvl w:val="9"/>
              <w:rPr>
                <w:rFonts w:ascii="仿宋_GB2312" w:hAnsi="仿宋_GB2312" w:eastAsia="仿宋_GB2312" w:cs="仿宋_GB2312"/>
                <w:sz w:val="24"/>
                <w:szCs w:val="24"/>
              </w:rPr>
            </w:pPr>
            <w:r>
              <w:rPr>
                <w:rFonts w:ascii="仿宋_GB2312" w:hAnsi="仿宋_GB2312" w:eastAsia="仿宋_GB2312" w:cs="仿宋_GB2312"/>
                <w:sz w:val="24"/>
                <w:szCs w:val="24"/>
              </w:rPr>
              <w:t>&gt;90</w:t>
            </w:r>
          </w:p>
        </w:tc>
        <w:tc>
          <w:tcPr>
            <w:tcW w:w="1338" w:type="dxa"/>
            <w:tcBorders>
              <w:top w:val="single" w:color="auto" w:sz="4" w:space="0"/>
              <w:left w:val="single" w:color="auto" w:sz="4" w:space="0"/>
              <w:right w:val="single" w:color="auto" w:sz="4" w:space="0"/>
            </w:tcBorders>
            <w:shd w:val="clear" w:color="auto" w:fill="FFFFFF"/>
            <w:noWrap w:val="0"/>
            <w:vAlign w:val="center"/>
          </w:tcPr>
          <w:p>
            <w:pPr>
              <w:pStyle w:val="43"/>
              <w:spacing w:line="400" w:lineRule="exact"/>
              <w:ind w:left="0" w:leftChars="0" w:firstLine="0" w:firstLineChars="0"/>
              <w:jc w:val="center"/>
              <w:outlineLvl w:val="9"/>
              <w:rPr>
                <w:rFonts w:ascii="仿宋_GB2312" w:hAnsi="仿宋_GB2312" w:eastAsia="仿宋_GB2312" w:cs="仿宋_GB2312"/>
                <w:sz w:val="24"/>
                <w:szCs w:val="24"/>
              </w:rPr>
            </w:pPr>
            <w:r>
              <w:rPr>
                <w:rFonts w:hint="eastAsia" w:ascii="仿宋_GB2312" w:hAnsi="仿宋_GB2312" w:eastAsia="仿宋_GB2312" w:cs="仿宋_GB2312"/>
                <w:sz w:val="24"/>
                <w:szCs w:val="24"/>
              </w:rPr>
              <w:t>预期性</w:t>
            </w:r>
          </w:p>
        </w:tc>
      </w:tr>
      <w:tr>
        <w:tblPrEx>
          <w:tblCellMar>
            <w:top w:w="0" w:type="dxa"/>
            <w:left w:w="108" w:type="dxa"/>
            <w:bottom w:w="0" w:type="dxa"/>
            <w:right w:w="108" w:type="dxa"/>
          </w:tblCellMar>
        </w:tblPrEx>
        <w:trPr>
          <w:trHeight w:val="479" w:hRule="exact"/>
          <w:jc w:val="center"/>
        </w:trPr>
        <w:tc>
          <w:tcPr>
            <w:tcW w:w="1273" w:type="dxa"/>
            <w:vMerge w:val="continue"/>
            <w:tcBorders>
              <w:left w:val="single" w:color="auto" w:sz="4" w:space="0"/>
            </w:tcBorders>
            <w:shd w:val="clear" w:color="auto" w:fill="FFFFFF"/>
            <w:noWrap w:val="0"/>
            <w:vAlign w:val="top"/>
          </w:tcPr>
          <w:p>
            <w:pPr>
              <w:spacing w:line="400" w:lineRule="exact"/>
              <w:outlineLvl w:val="9"/>
              <w:rPr>
                <w:rFonts w:ascii="仿宋_GB2312" w:hAnsi="仿宋_GB2312" w:eastAsia="仿宋_GB2312" w:cs="仿宋_GB2312"/>
                <w:sz w:val="24"/>
              </w:rPr>
            </w:pPr>
          </w:p>
        </w:tc>
        <w:tc>
          <w:tcPr>
            <w:tcW w:w="5372" w:type="dxa"/>
            <w:tcBorders>
              <w:top w:val="single" w:color="auto" w:sz="4" w:space="0"/>
              <w:left w:val="single" w:color="auto" w:sz="4" w:space="0"/>
            </w:tcBorders>
            <w:shd w:val="clear" w:color="auto" w:fill="FFFFFF"/>
            <w:noWrap w:val="0"/>
            <w:vAlign w:val="center"/>
          </w:tcPr>
          <w:p>
            <w:pPr>
              <w:pStyle w:val="43"/>
              <w:keepNext w:val="0"/>
              <w:keepLines w:val="0"/>
              <w:pageBreakBefore w:val="0"/>
              <w:widowControl w:val="0"/>
              <w:kinsoku/>
              <w:wordWrap/>
              <w:overflowPunct/>
              <w:topLinePunct w:val="0"/>
              <w:autoSpaceDE/>
              <w:autoSpaceDN/>
              <w:bidi w:val="0"/>
              <w:adjustRightInd/>
              <w:snapToGrid w:val="0"/>
              <w:spacing w:line="400" w:lineRule="exact"/>
              <w:ind w:firstLine="0" w:firstLineChars="0"/>
              <w:jc w:val="both"/>
              <w:textAlignment w:val="auto"/>
              <w:outlineLvl w:val="9"/>
              <w:rPr>
                <w:rFonts w:ascii="仿宋_GB2312" w:hAnsi="仿宋_GB2312" w:eastAsia="仿宋_GB2312" w:cs="仿宋_GB2312"/>
                <w:sz w:val="24"/>
                <w:szCs w:val="24"/>
              </w:rPr>
            </w:pPr>
            <w:r>
              <w:rPr>
                <w:rFonts w:ascii="仿宋_GB2312" w:hAnsi="仿宋_GB2312" w:eastAsia="仿宋_GB2312" w:cs="仿宋_GB2312"/>
                <w:sz w:val="24"/>
                <w:szCs w:val="24"/>
              </w:rPr>
              <w:t>7.</w:t>
            </w:r>
            <w:r>
              <w:rPr>
                <w:rFonts w:hint="eastAsia" w:ascii="仿宋_GB2312" w:hAnsi="仿宋_GB2312" w:eastAsia="仿宋_GB2312" w:cs="仿宋_GB2312"/>
                <w:sz w:val="24"/>
                <w:szCs w:val="24"/>
              </w:rPr>
              <w:t>残疾人城乡居民基本医疗保险参保率（</w:t>
            </w:r>
            <w:r>
              <w:rPr>
                <w:rFonts w:ascii="仿宋_GB2312" w:hAnsi="仿宋_GB2312" w:eastAsia="仿宋_GB2312" w:cs="仿宋_GB2312"/>
                <w:sz w:val="24"/>
                <w:szCs w:val="24"/>
              </w:rPr>
              <w:t>%</w:t>
            </w:r>
            <w:r>
              <w:rPr>
                <w:rFonts w:hint="eastAsia" w:ascii="仿宋_GB2312" w:hAnsi="仿宋_GB2312" w:eastAsia="仿宋_GB2312" w:cs="仿宋_GB2312"/>
                <w:sz w:val="24"/>
                <w:szCs w:val="24"/>
              </w:rPr>
              <w:t>）</w:t>
            </w:r>
          </w:p>
        </w:tc>
        <w:tc>
          <w:tcPr>
            <w:tcW w:w="1497" w:type="dxa"/>
            <w:tcBorders>
              <w:top w:val="single" w:color="auto" w:sz="4" w:space="0"/>
              <w:left w:val="single" w:color="auto" w:sz="4" w:space="0"/>
            </w:tcBorders>
            <w:shd w:val="clear" w:color="auto" w:fill="FFFFFF"/>
            <w:noWrap w:val="0"/>
            <w:vAlign w:val="center"/>
          </w:tcPr>
          <w:p>
            <w:pPr>
              <w:pStyle w:val="43"/>
              <w:spacing w:line="400" w:lineRule="exact"/>
              <w:ind w:left="0" w:leftChars="0" w:firstLine="0" w:firstLineChars="0"/>
              <w:jc w:val="center"/>
              <w:outlineLvl w:val="9"/>
              <w:rPr>
                <w:rFonts w:ascii="仿宋_GB2312" w:hAnsi="仿宋_GB2312" w:eastAsia="仿宋_GB2312" w:cs="仿宋_GB2312"/>
                <w:sz w:val="24"/>
                <w:szCs w:val="24"/>
              </w:rPr>
            </w:pPr>
            <w:r>
              <w:rPr>
                <w:rFonts w:ascii="仿宋_GB2312" w:hAnsi="仿宋_GB2312" w:eastAsia="仿宋_GB2312" w:cs="仿宋_GB2312"/>
                <w:sz w:val="24"/>
                <w:szCs w:val="24"/>
              </w:rPr>
              <w:t>&gt;95</w:t>
            </w:r>
          </w:p>
        </w:tc>
        <w:tc>
          <w:tcPr>
            <w:tcW w:w="1338" w:type="dxa"/>
            <w:tcBorders>
              <w:top w:val="single" w:color="auto" w:sz="4" w:space="0"/>
              <w:left w:val="single" w:color="auto" w:sz="4" w:space="0"/>
              <w:right w:val="single" w:color="auto" w:sz="4" w:space="0"/>
            </w:tcBorders>
            <w:shd w:val="clear" w:color="auto" w:fill="FFFFFF"/>
            <w:noWrap w:val="0"/>
            <w:vAlign w:val="center"/>
          </w:tcPr>
          <w:p>
            <w:pPr>
              <w:pStyle w:val="43"/>
              <w:spacing w:line="400" w:lineRule="exact"/>
              <w:ind w:left="0" w:leftChars="0" w:firstLine="0" w:firstLineChars="0"/>
              <w:jc w:val="center"/>
              <w:outlineLvl w:val="9"/>
              <w:rPr>
                <w:rFonts w:ascii="仿宋_GB2312" w:hAnsi="仿宋_GB2312" w:eastAsia="仿宋_GB2312" w:cs="仿宋_GB2312"/>
                <w:sz w:val="24"/>
                <w:szCs w:val="24"/>
              </w:rPr>
            </w:pPr>
            <w:r>
              <w:rPr>
                <w:rFonts w:hint="eastAsia" w:ascii="仿宋_GB2312" w:hAnsi="仿宋_GB2312" w:eastAsia="仿宋_GB2312" w:cs="仿宋_GB2312"/>
                <w:sz w:val="24"/>
                <w:szCs w:val="24"/>
              </w:rPr>
              <w:t>预期性</w:t>
            </w:r>
          </w:p>
        </w:tc>
      </w:tr>
      <w:tr>
        <w:tblPrEx>
          <w:tblCellMar>
            <w:top w:w="0" w:type="dxa"/>
            <w:left w:w="108" w:type="dxa"/>
            <w:bottom w:w="0" w:type="dxa"/>
            <w:right w:w="108" w:type="dxa"/>
          </w:tblCellMar>
        </w:tblPrEx>
        <w:trPr>
          <w:trHeight w:val="485" w:hRule="exact"/>
          <w:jc w:val="center"/>
        </w:trPr>
        <w:tc>
          <w:tcPr>
            <w:tcW w:w="1273" w:type="dxa"/>
            <w:vMerge w:val="continue"/>
            <w:tcBorders>
              <w:left w:val="single" w:color="auto" w:sz="4" w:space="0"/>
            </w:tcBorders>
            <w:shd w:val="clear" w:color="auto" w:fill="FFFFFF"/>
            <w:noWrap w:val="0"/>
            <w:vAlign w:val="top"/>
          </w:tcPr>
          <w:p>
            <w:pPr>
              <w:spacing w:line="400" w:lineRule="exact"/>
              <w:outlineLvl w:val="9"/>
              <w:rPr>
                <w:rFonts w:ascii="仿宋_GB2312" w:hAnsi="仿宋_GB2312" w:eastAsia="仿宋_GB2312" w:cs="仿宋_GB2312"/>
                <w:sz w:val="24"/>
              </w:rPr>
            </w:pPr>
          </w:p>
        </w:tc>
        <w:tc>
          <w:tcPr>
            <w:tcW w:w="5372" w:type="dxa"/>
            <w:tcBorders>
              <w:top w:val="single" w:color="auto" w:sz="4" w:space="0"/>
              <w:left w:val="single" w:color="auto" w:sz="4" w:space="0"/>
            </w:tcBorders>
            <w:shd w:val="clear" w:color="auto" w:fill="FFFFFF"/>
            <w:noWrap w:val="0"/>
            <w:vAlign w:val="center"/>
          </w:tcPr>
          <w:p>
            <w:pPr>
              <w:pStyle w:val="43"/>
              <w:keepNext w:val="0"/>
              <w:keepLines w:val="0"/>
              <w:pageBreakBefore w:val="0"/>
              <w:widowControl w:val="0"/>
              <w:kinsoku/>
              <w:wordWrap/>
              <w:overflowPunct/>
              <w:topLinePunct w:val="0"/>
              <w:autoSpaceDE/>
              <w:autoSpaceDN/>
              <w:bidi w:val="0"/>
              <w:adjustRightInd/>
              <w:snapToGrid w:val="0"/>
              <w:spacing w:line="400" w:lineRule="exact"/>
              <w:ind w:firstLine="0" w:firstLineChars="0"/>
              <w:textAlignment w:val="auto"/>
              <w:outlineLvl w:val="9"/>
              <w:rPr>
                <w:rFonts w:ascii="仿宋_GB2312" w:hAnsi="仿宋_GB2312" w:eastAsia="仿宋_GB2312" w:cs="仿宋_GB2312"/>
                <w:sz w:val="24"/>
                <w:szCs w:val="24"/>
              </w:rPr>
            </w:pPr>
            <w:r>
              <w:rPr>
                <w:rFonts w:ascii="仿宋_GB2312" w:hAnsi="仿宋_GB2312" w:eastAsia="仿宋_GB2312" w:cs="仿宋_GB2312"/>
                <w:sz w:val="24"/>
                <w:szCs w:val="24"/>
              </w:rPr>
              <w:t>8.</w:t>
            </w:r>
            <w:r>
              <w:rPr>
                <w:rFonts w:hint="eastAsia" w:ascii="仿宋_GB2312" w:hAnsi="仿宋_GB2312" w:eastAsia="仿宋_GB2312" w:cs="仿宋_GB2312"/>
                <w:sz w:val="24"/>
                <w:szCs w:val="24"/>
              </w:rPr>
              <w:t>残疾儿童少年义务教育入学率（</w:t>
            </w:r>
            <w:r>
              <w:rPr>
                <w:rFonts w:ascii="仿宋_GB2312" w:hAnsi="仿宋_GB2312" w:eastAsia="仿宋_GB2312" w:cs="仿宋_GB2312"/>
                <w:sz w:val="24"/>
                <w:szCs w:val="24"/>
              </w:rPr>
              <w:t>%</w:t>
            </w:r>
            <w:r>
              <w:rPr>
                <w:rFonts w:hint="eastAsia" w:ascii="仿宋_GB2312" w:hAnsi="仿宋_GB2312" w:eastAsia="仿宋_GB2312" w:cs="仿宋_GB2312"/>
                <w:sz w:val="24"/>
                <w:szCs w:val="24"/>
              </w:rPr>
              <w:t>）</w:t>
            </w:r>
          </w:p>
        </w:tc>
        <w:tc>
          <w:tcPr>
            <w:tcW w:w="1497" w:type="dxa"/>
            <w:tcBorders>
              <w:top w:val="single" w:color="auto" w:sz="4" w:space="0"/>
              <w:left w:val="single" w:color="auto" w:sz="4" w:space="0"/>
            </w:tcBorders>
            <w:shd w:val="clear" w:color="auto" w:fill="FFFFFF"/>
            <w:noWrap w:val="0"/>
            <w:vAlign w:val="center"/>
          </w:tcPr>
          <w:p>
            <w:pPr>
              <w:pStyle w:val="43"/>
              <w:spacing w:line="400" w:lineRule="exact"/>
              <w:ind w:left="0" w:leftChars="0" w:firstLine="0" w:firstLineChars="0"/>
              <w:jc w:val="center"/>
              <w:outlineLvl w:val="9"/>
              <w:rPr>
                <w:rFonts w:ascii="仿宋_GB2312" w:hAnsi="仿宋_GB2312" w:eastAsia="仿宋_GB2312" w:cs="仿宋_GB2312"/>
                <w:sz w:val="24"/>
                <w:szCs w:val="24"/>
              </w:rPr>
            </w:pPr>
            <w:r>
              <w:rPr>
                <w:rFonts w:ascii="仿宋_GB2312" w:hAnsi="仿宋_GB2312" w:eastAsia="仿宋_GB2312" w:cs="仿宋_GB2312"/>
                <w:sz w:val="24"/>
                <w:szCs w:val="24"/>
              </w:rPr>
              <w:t>&gt;97</w:t>
            </w:r>
          </w:p>
        </w:tc>
        <w:tc>
          <w:tcPr>
            <w:tcW w:w="1338" w:type="dxa"/>
            <w:tcBorders>
              <w:top w:val="single" w:color="auto" w:sz="4" w:space="0"/>
              <w:left w:val="single" w:color="auto" w:sz="4" w:space="0"/>
              <w:right w:val="single" w:color="auto" w:sz="4" w:space="0"/>
            </w:tcBorders>
            <w:shd w:val="clear" w:color="auto" w:fill="FFFFFF"/>
            <w:noWrap w:val="0"/>
            <w:vAlign w:val="center"/>
          </w:tcPr>
          <w:p>
            <w:pPr>
              <w:pStyle w:val="43"/>
              <w:spacing w:line="400" w:lineRule="exact"/>
              <w:ind w:left="0" w:leftChars="0" w:firstLine="0" w:firstLineChars="0"/>
              <w:jc w:val="center"/>
              <w:outlineLvl w:val="9"/>
              <w:rPr>
                <w:rFonts w:ascii="仿宋_GB2312" w:hAnsi="仿宋_GB2312" w:eastAsia="仿宋_GB2312" w:cs="仿宋_GB2312"/>
                <w:sz w:val="24"/>
                <w:szCs w:val="24"/>
              </w:rPr>
            </w:pPr>
            <w:r>
              <w:rPr>
                <w:rFonts w:hint="eastAsia" w:ascii="仿宋_GB2312" w:hAnsi="仿宋_GB2312" w:eastAsia="仿宋_GB2312" w:cs="仿宋_GB2312"/>
                <w:sz w:val="24"/>
                <w:szCs w:val="24"/>
              </w:rPr>
              <w:t>预期性</w:t>
            </w:r>
          </w:p>
        </w:tc>
      </w:tr>
      <w:tr>
        <w:tblPrEx>
          <w:tblCellMar>
            <w:top w:w="0" w:type="dxa"/>
            <w:left w:w="108" w:type="dxa"/>
            <w:bottom w:w="0" w:type="dxa"/>
            <w:right w:w="108" w:type="dxa"/>
          </w:tblCellMar>
        </w:tblPrEx>
        <w:trPr>
          <w:trHeight w:val="752" w:hRule="exact"/>
          <w:jc w:val="center"/>
        </w:trPr>
        <w:tc>
          <w:tcPr>
            <w:tcW w:w="1273" w:type="dxa"/>
            <w:vMerge w:val="continue"/>
            <w:tcBorders>
              <w:left w:val="single" w:color="auto" w:sz="4" w:space="0"/>
            </w:tcBorders>
            <w:shd w:val="clear" w:color="auto" w:fill="FFFFFF"/>
            <w:noWrap w:val="0"/>
            <w:vAlign w:val="top"/>
          </w:tcPr>
          <w:p>
            <w:pPr>
              <w:spacing w:line="400" w:lineRule="exact"/>
              <w:outlineLvl w:val="9"/>
              <w:rPr>
                <w:rFonts w:ascii="仿宋_GB2312" w:hAnsi="仿宋_GB2312" w:eastAsia="仿宋_GB2312" w:cs="仿宋_GB2312"/>
                <w:sz w:val="24"/>
              </w:rPr>
            </w:pPr>
          </w:p>
        </w:tc>
        <w:tc>
          <w:tcPr>
            <w:tcW w:w="5372" w:type="dxa"/>
            <w:tcBorders>
              <w:top w:val="single" w:color="auto" w:sz="4" w:space="0"/>
              <w:left w:val="single" w:color="auto" w:sz="4" w:space="0"/>
            </w:tcBorders>
            <w:shd w:val="clear" w:color="auto" w:fill="FFFFFF"/>
            <w:noWrap w:val="0"/>
            <w:vAlign w:val="top"/>
          </w:tcPr>
          <w:p>
            <w:pPr>
              <w:pStyle w:val="43"/>
              <w:keepNext w:val="0"/>
              <w:keepLines w:val="0"/>
              <w:pageBreakBefore w:val="0"/>
              <w:widowControl w:val="0"/>
              <w:kinsoku/>
              <w:wordWrap/>
              <w:overflowPunct/>
              <w:topLinePunct w:val="0"/>
              <w:autoSpaceDE/>
              <w:autoSpaceDN/>
              <w:bidi w:val="0"/>
              <w:adjustRightInd/>
              <w:snapToGrid w:val="0"/>
              <w:spacing w:line="400" w:lineRule="exact"/>
              <w:ind w:firstLine="0" w:firstLineChars="0"/>
              <w:jc w:val="both"/>
              <w:textAlignment w:val="auto"/>
              <w:outlineLvl w:val="9"/>
              <w:rPr>
                <w:rFonts w:ascii="仿宋_GB2312" w:hAnsi="仿宋_GB2312" w:eastAsia="仿宋_GB2312" w:cs="仿宋_GB2312"/>
                <w:sz w:val="24"/>
                <w:szCs w:val="24"/>
              </w:rPr>
            </w:pPr>
            <w:r>
              <w:rPr>
                <w:rFonts w:ascii="仿宋_GB2312" w:hAnsi="仿宋_GB2312" w:eastAsia="仿宋_GB2312" w:cs="仿宋_GB2312"/>
                <w:sz w:val="24"/>
                <w:szCs w:val="24"/>
                <w:lang w:val="en-US" w:eastAsia="en-US"/>
              </w:rPr>
              <w:t>9.</w:t>
            </w:r>
            <w:r>
              <w:rPr>
                <w:rFonts w:hint="eastAsia" w:ascii="仿宋_GB2312" w:hAnsi="仿宋_GB2312" w:eastAsia="仿宋_GB2312" w:cs="仿宋_GB2312"/>
                <w:sz w:val="24"/>
                <w:szCs w:val="24"/>
              </w:rPr>
              <w:t>符合条件且有需求的残疾儿童和持证残疾人基本康复服务覆盖率（</w:t>
            </w:r>
            <w:r>
              <w:rPr>
                <w:rFonts w:ascii="仿宋_GB2312" w:hAnsi="仿宋_GB2312" w:eastAsia="仿宋_GB2312" w:cs="仿宋_GB2312"/>
                <w:sz w:val="24"/>
                <w:szCs w:val="24"/>
              </w:rPr>
              <w:t>%</w:t>
            </w:r>
            <w:r>
              <w:rPr>
                <w:rFonts w:hint="eastAsia" w:ascii="仿宋_GB2312" w:hAnsi="仿宋_GB2312" w:eastAsia="仿宋_GB2312" w:cs="仿宋_GB2312"/>
                <w:sz w:val="24"/>
                <w:szCs w:val="24"/>
              </w:rPr>
              <w:t>）</w:t>
            </w:r>
          </w:p>
        </w:tc>
        <w:tc>
          <w:tcPr>
            <w:tcW w:w="1497" w:type="dxa"/>
            <w:tcBorders>
              <w:top w:val="single" w:color="auto" w:sz="4" w:space="0"/>
              <w:left w:val="single" w:color="auto" w:sz="4" w:space="0"/>
            </w:tcBorders>
            <w:shd w:val="clear" w:color="auto" w:fill="FFFFFF"/>
            <w:noWrap w:val="0"/>
            <w:vAlign w:val="center"/>
          </w:tcPr>
          <w:p>
            <w:pPr>
              <w:pStyle w:val="43"/>
              <w:spacing w:line="400" w:lineRule="exact"/>
              <w:ind w:left="0" w:leftChars="0" w:firstLine="0" w:firstLineChars="0"/>
              <w:jc w:val="center"/>
              <w:outlineLvl w:val="9"/>
              <w:rPr>
                <w:rFonts w:ascii="仿宋_GB2312" w:hAnsi="仿宋_GB2312" w:eastAsia="仿宋_GB2312" w:cs="仿宋_GB2312"/>
                <w:sz w:val="24"/>
                <w:szCs w:val="24"/>
              </w:rPr>
            </w:pPr>
            <w:r>
              <w:rPr>
                <w:rFonts w:ascii="仿宋_GB2312" w:hAnsi="仿宋_GB2312" w:eastAsia="仿宋_GB2312" w:cs="仿宋_GB2312"/>
                <w:sz w:val="24"/>
                <w:szCs w:val="24"/>
              </w:rPr>
              <w:t>&gt;85</w:t>
            </w:r>
          </w:p>
        </w:tc>
        <w:tc>
          <w:tcPr>
            <w:tcW w:w="1338" w:type="dxa"/>
            <w:tcBorders>
              <w:top w:val="single" w:color="auto" w:sz="4" w:space="0"/>
              <w:left w:val="single" w:color="auto" w:sz="4" w:space="0"/>
              <w:right w:val="single" w:color="auto" w:sz="4" w:space="0"/>
            </w:tcBorders>
            <w:shd w:val="clear" w:color="auto" w:fill="FFFFFF"/>
            <w:noWrap w:val="0"/>
            <w:vAlign w:val="center"/>
          </w:tcPr>
          <w:p>
            <w:pPr>
              <w:pStyle w:val="43"/>
              <w:spacing w:line="400" w:lineRule="exact"/>
              <w:ind w:left="0" w:leftChars="0" w:firstLine="0" w:firstLineChars="0"/>
              <w:jc w:val="center"/>
              <w:outlineLvl w:val="9"/>
              <w:rPr>
                <w:rFonts w:ascii="仿宋_GB2312" w:hAnsi="仿宋_GB2312" w:eastAsia="仿宋_GB2312" w:cs="仿宋_GB2312"/>
                <w:sz w:val="24"/>
                <w:szCs w:val="24"/>
              </w:rPr>
            </w:pPr>
            <w:r>
              <w:rPr>
                <w:rFonts w:hint="eastAsia" w:ascii="仿宋_GB2312" w:hAnsi="仿宋_GB2312" w:eastAsia="仿宋_GB2312" w:cs="仿宋_GB2312"/>
                <w:sz w:val="24"/>
                <w:szCs w:val="24"/>
              </w:rPr>
              <w:t>约束性</w:t>
            </w:r>
          </w:p>
        </w:tc>
      </w:tr>
      <w:tr>
        <w:tblPrEx>
          <w:tblCellMar>
            <w:top w:w="0" w:type="dxa"/>
            <w:left w:w="108" w:type="dxa"/>
            <w:bottom w:w="0" w:type="dxa"/>
            <w:right w:w="108" w:type="dxa"/>
          </w:tblCellMar>
        </w:tblPrEx>
        <w:trPr>
          <w:trHeight w:val="799" w:hRule="exact"/>
          <w:jc w:val="center"/>
        </w:trPr>
        <w:tc>
          <w:tcPr>
            <w:tcW w:w="1273" w:type="dxa"/>
            <w:vMerge w:val="continue"/>
            <w:tcBorders>
              <w:left w:val="single" w:color="auto" w:sz="4" w:space="0"/>
            </w:tcBorders>
            <w:shd w:val="clear" w:color="auto" w:fill="FFFFFF"/>
            <w:noWrap w:val="0"/>
            <w:vAlign w:val="top"/>
          </w:tcPr>
          <w:p>
            <w:pPr>
              <w:spacing w:line="400" w:lineRule="exact"/>
              <w:outlineLvl w:val="9"/>
              <w:rPr>
                <w:rFonts w:ascii="仿宋_GB2312" w:hAnsi="仿宋_GB2312" w:eastAsia="仿宋_GB2312" w:cs="仿宋_GB2312"/>
                <w:sz w:val="24"/>
              </w:rPr>
            </w:pPr>
          </w:p>
        </w:tc>
        <w:tc>
          <w:tcPr>
            <w:tcW w:w="5372" w:type="dxa"/>
            <w:tcBorders>
              <w:top w:val="single" w:color="auto" w:sz="4" w:space="0"/>
              <w:left w:val="single" w:color="auto" w:sz="4" w:space="0"/>
            </w:tcBorders>
            <w:shd w:val="clear" w:color="auto" w:fill="FFFFFF"/>
            <w:noWrap w:val="0"/>
            <w:vAlign w:val="top"/>
          </w:tcPr>
          <w:p>
            <w:pPr>
              <w:pStyle w:val="43"/>
              <w:keepNext w:val="0"/>
              <w:keepLines w:val="0"/>
              <w:pageBreakBefore w:val="0"/>
              <w:widowControl w:val="0"/>
              <w:kinsoku/>
              <w:wordWrap/>
              <w:overflowPunct/>
              <w:topLinePunct w:val="0"/>
              <w:autoSpaceDE/>
              <w:autoSpaceDN/>
              <w:bidi w:val="0"/>
              <w:adjustRightInd/>
              <w:snapToGrid w:val="0"/>
              <w:spacing w:line="400" w:lineRule="exact"/>
              <w:ind w:firstLine="0" w:firstLineChars="0"/>
              <w:jc w:val="both"/>
              <w:textAlignment w:val="auto"/>
              <w:outlineLvl w:val="9"/>
              <w:rPr>
                <w:rFonts w:ascii="仿宋_GB2312" w:hAnsi="仿宋_GB2312" w:eastAsia="仿宋_GB2312" w:cs="仿宋_GB2312"/>
                <w:sz w:val="24"/>
                <w:szCs w:val="24"/>
              </w:rPr>
            </w:pPr>
            <w:r>
              <w:rPr>
                <w:rFonts w:ascii="仿宋_GB2312" w:hAnsi="仿宋_GB2312" w:eastAsia="仿宋_GB2312" w:cs="仿宋_GB2312"/>
                <w:sz w:val="24"/>
                <w:szCs w:val="24"/>
                <w:lang w:val="en-US" w:eastAsia="en-US"/>
              </w:rPr>
              <w:t>10.</w:t>
            </w:r>
            <w:r>
              <w:rPr>
                <w:rFonts w:hint="eastAsia" w:ascii="仿宋_GB2312" w:hAnsi="仿宋_GB2312" w:eastAsia="仿宋_GB2312" w:cs="仿宋_GB2312"/>
                <w:sz w:val="24"/>
                <w:szCs w:val="24"/>
              </w:rPr>
              <w:t>符合条件且有需求的残疾儿童和持证残疾人辅助器具适配率（</w:t>
            </w:r>
            <w:r>
              <w:rPr>
                <w:rFonts w:ascii="仿宋_GB2312" w:hAnsi="仿宋_GB2312" w:eastAsia="仿宋_GB2312" w:cs="仿宋_GB2312"/>
                <w:sz w:val="24"/>
                <w:szCs w:val="24"/>
              </w:rPr>
              <w:t>%</w:t>
            </w:r>
            <w:r>
              <w:rPr>
                <w:rFonts w:hint="eastAsia" w:ascii="仿宋_GB2312" w:hAnsi="仿宋_GB2312" w:eastAsia="仿宋_GB2312" w:cs="仿宋_GB2312"/>
                <w:sz w:val="24"/>
                <w:szCs w:val="24"/>
              </w:rPr>
              <w:t>）</w:t>
            </w:r>
          </w:p>
        </w:tc>
        <w:tc>
          <w:tcPr>
            <w:tcW w:w="1497" w:type="dxa"/>
            <w:tcBorders>
              <w:top w:val="single" w:color="auto" w:sz="4" w:space="0"/>
              <w:left w:val="single" w:color="auto" w:sz="4" w:space="0"/>
            </w:tcBorders>
            <w:shd w:val="clear" w:color="auto" w:fill="FFFFFF"/>
            <w:noWrap w:val="0"/>
            <w:vAlign w:val="center"/>
          </w:tcPr>
          <w:p>
            <w:pPr>
              <w:pStyle w:val="43"/>
              <w:spacing w:line="400" w:lineRule="exact"/>
              <w:ind w:left="0" w:leftChars="0" w:firstLine="0" w:firstLineChars="0"/>
              <w:jc w:val="center"/>
              <w:outlineLvl w:val="9"/>
              <w:rPr>
                <w:rFonts w:ascii="仿宋_GB2312" w:hAnsi="仿宋_GB2312" w:eastAsia="仿宋_GB2312" w:cs="仿宋_GB2312"/>
                <w:sz w:val="24"/>
                <w:szCs w:val="24"/>
              </w:rPr>
            </w:pPr>
            <w:r>
              <w:rPr>
                <w:rFonts w:ascii="仿宋_GB2312" w:hAnsi="仿宋_GB2312" w:eastAsia="仿宋_GB2312" w:cs="仿宋_GB2312"/>
                <w:sz w:val="24"/>
                <w:szCs w:val="24"/>
              </w:rPr>
              <w:t>&gt;85</w:t>
            </w:r>
          </w:p>
        </w:tc>
        <w:tc>
          <w:tcPr>
            <w:tcW w:w="1338" w:type="dxa"/>
            <w:tcBorders>
              <w:top w:val="single" w:color="auto" w:sz="4" w:space="0"/>
              <w:left w:val="single" w:color="auto" w:sz="4" w:space="0"/>
              <w:right w:val="single" w:color="auto" w:sz="4" w:space="0"/>
            </w:tcBorders>
            <w:shd w:val="clear" w:color="auto" w:fill="FFFFFF"/>
            <w:noWrap w:val="0"/>
            <w:vAlign w:val="center"/>
          </w:tcPr>
          <w:p>
            <w:pPr>
              <w:pStyle w:val="43"/>
              <w:spacing w:line="400" w:lineRule="exact"/>
              <w:ind w:left="0" w:leftChars="0" w:firstLine="0" w:firstLineChars="0"/>
              <w:jc w:val="center"/>
              <w:outlineLvl w:val="9"/>
              <w:rPr>
                <w:rFonts w:ascii="仿宋_GB2312" w:hAnsi="仿宋_GB2312" w:eastAsia="仿宋_GB2312" w:cs="仿宋_GB2312"/>
                <w:sz w:val="24"/>
                <w:szCs w:val="24"/>
              </w:rPr>
            </w:pPr>
            <w:r>
              <w:rPr>
                <w:rFonts w:hint="eastAsia" w:ascii="仿宋_GB2312" w:hAnsi="仿宋_GB2312" w:eastAsia="仿宋_GB2312" w:cs="仿宋_GB2312"/>
                <w:sz w:val="24"/>
                <w:szCs w:val="24"/>
              </w:rPr>
              <w:t>约束性</w:t>
            </w:r>
          </w:p>
        </w:tc>
      </w:tr>
      <w:tr>
        <w:tblPrEx>
          <w:tblCellMar>
            <w:top w:w="0" w:type="dxa"/>
            <w:left w:w="108" w:type="dxa"/>
            <w:bottom w:w="0" w:type="dxa"/>
            <w:right w:w="108" w:type="dxa"/>
          </w:tblCellMar>
        </w:tblPrEx>
        <w:trPr>
          <w:trHeight w:val="528" w:hRule="exact"/>
          <w:jc w:val="center"/>
        </w:trPr>
        <w:tc>
          <w:tcPr>
            <w:tcW w:w="1273" w:type="dxa"/>
            <w:vMerge w:val="continue"/>
            <w:tcBorders>
              <w:left w:val="single" w:color="auto" w:sz="4" w:space="0"/>
              <w:bottom w:val="single" w:color="auto" w:sz="4" w:space="0"/>
            </w:tcBorders>
            <w:shd w:val="clear" w:color="auto" w:fill="FFFFFF"/>
            <w:noWrap w:val="0"/>
            <w:vAlign w:val="top"/>
          </w:tcPr>
          <w:p>
            <w:pPr>
              <w:spacing w:line="400" w:lineRule="exact"/>
              <w:outlineLvl w:val="9"/>
              <w:rPr>
                <w:rFonts w:ascii="仿宋_GB2312" w:hAnsi="仿宋_GB2312" w:eastAsia="仿宋_GB2312" w:cs="仿宋_GB2312"/>
                <w:sz w:val="24"/>
              </w:rPr>
            </w:pPr>
          </w:p>
        </w:tc>
        <w:tc>
          <w:tcPr>
            <w:tcW w:w="5372" w:type="dxa"/>
            <w:tcBorders>
              <w:top w:val="single" w:color="auto" w:sz="4" w:space="0"/>
              <w:left w:val="single" w:color="auto" w:sz="4" w:space="0"/>
              <w:bottom w:val="single" w:color="auto" w:sz="4" w:space="0"/>
            </w:tcBorders>
            <w:shd w:val="clear" w:color="auto" w:fill="FFFFFF"/>
            <w:noWrap w:val="0"/>
            <w:vAlign w:val="top"/>
          </w:tcPr>
          <w:p>
            <w:pPr>
              <w:pStyle w:val="43"/>
              <w:keepNext w:val="0"/>
              <w:keepLines w:val="0"/>
              <w:pageBreakBefore w:val="0"/>
              <w:widowControl w:val="0"/>
              <w:kinsoku/>
              <w:wordWrap/>
              <w:overflowPunct/>
              <w:topLinePunct w:val="0"/>
              <w:autoSpaceDE/>
              <w:autoSpaceDN/>
              <w:bidi w:val="0"/>
              <w:adjustRightInd/>
              <w:snapToGrid w:val="0"/>
              <w:spacing w:line="400" w:lineRule="exact"/>
              <w:ind w:firstLine="0" w:firstLineChars="0"/>
              <w:jc w:val="both"/>
              <w:textAlignment w:val="auto"/>
              <w:outlineLvl w:val="9"/>
              <w:rPr>
                <w:rFonts w:ascii="仿宋_GB2312" w:hAnsi="仿宋_GB2312" w:eastAsia="仿宋_GB2312" w:cs="仿宋_GB2312"/>
                <w:sz w:val="24"/>
                <w:szCs w:val="24"/>
              </w:rPr>
            </w:pPr>
            <w:r>
              <w:rPr>
                <w:rFonts w:ascii="仿宋_GB2312" w:hAnsi="仿宋_GB2312" w:eastAsia="仿宋_GB2312" w:cs="仿宋_GB2312"/>
                <w:sz w:val="24"/>
                <w:szCs w:val="24"/>
                <w:lang w:val="en-US" w:eastAsia="en-US"/>
              </w:rPr>
              <w:t>11.</w:t>
            </w:r>
            <w:r>
              <w:rPr>
                <w:rFonts w:hint="eastAsia" w:ascii="仿宋_GB2312" w:hAnsi="仿宋_GB2312" w:eastAsia="仿宋_GB2312" w:cs="仿宋_GB2312"/>
                <w:sz w:val="24"/>
                <w:szCs w:val="24"/>
              </w:rPr>
              <w:t>困难重度残疾人家庭无障碍改造数（户）</w:t>
            </w:r>
          </w:p>
        </w:tc>
        <w:tc>
          <w:tcPr>
            <w:tcW w:w="1497" w:type="dxa"/>
            <w:tcBorders>
              <w:top w:val="single" w:color="auto" w:sz="4" w:space="0"/>
              <w:left w:val="single" w:color="auto" w:sz="4" w:space="0"/>
              <w:bottom w:val="single" w:color="auto" w:sz="4" w:space="0"/>
            </w:tcBorders>
            <w:shd w:val="clear" w:color="auto" w:fill="FFFFFF"/>
            <w:noWrap w:val="0"/>
            <w:vAlign w:val="center"/>
          </w:tcPr>
          <w:p>
            <w:pPr>
              <w:pStyle w:val="43"/>
              <w:spacing w:line="400" w:lineRule="exact"/>
              <w:ind w:left="0" w:leftChars="0" w:firstLine="0" w:firstLineChars="0"/>
              <w:jc w:val="center"/>
              <w:outlineLvl w:val="9"/>
              <w:rPr>
                <w:rFonts w:ascii="仿宋_GB2312" w:hAnsi="仿宋_GB2312" w:eastAsia="仿宋_GB2312" w:cs="仿宋_GB2312"/>
                <w:sz w:val="24"/>
                <w:szCs w:val="24"/>
                <w:lang w:val="en-US" w:eastAsia="zh-CN"/>
              </w:rPr>
            </w:pPr>
            <w:r>
              <w:rPr>
                <w:rFonts w:ascii="仿宋_GB2312" w:hAnsi="仿宋_GB2312" w:eastAsia="仿宋_GB2312" w:cs="仿宋_GB2312"/>
                <w:sz w:val="24"/>
                <w:szCs w:val="24"/>
                <w:lang w:val="en-US" w:eastAsia="zh-CN"/>
              </w:rPr>
              <w:t>280</w:t>
            </w:r>
          </w:p>
        </w:tc>
        <w:tc>
          <w:tcPr>
            <w:tcW w:w="133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43"/>
              <w:spacing w:line="400" w:lineRule="exact"/>
              <w:ind w:left="0" w:leftChars="0" w:firstLine="0" w:firstLineChars="0"/>
              <w:jc w:val="center"/>
              <w:outlineLvl w:val="9"/>
              <w:rPr>
                <w:rFonts w:ascii="仿宋_GB2312" w:hAnsi="仿宋_GB2312" w:eastAsia="仿宋_GB2312" w:cs="仿宋_GB2312"/>
                <w:sz w:val="24"/>
                <w:szCs w:val="24"/>
              </w:rPr>
            </w:pPr>
            <w:r>
              <w:rPr>
                <w:rFonts w:hint="eastAsia" w:ascii="仿宋_GB2312" w:hAnsi="仿宋_GB2312" w:eastAsia="仿宋_GB2312" w:cs="仿宋_GB2312"/>
                <w:sz w:val="24"/>
                <w:szCs w:val="24"/>
              </w:rPr>
              <w:t>约束性</w:t>
            </w:r>
          </w:p>
        </w:tc>
      </w:tr>
    </w:tbl>
    <w:p>
      <w:pPr>
        <w:pStyle w:val="44"/>
        <w:keepNext w:val="0"/>
        <w:keepLines w:val="0"/>
        <w:pageBreakBefore w:val="0"/>
        <w:widowControl w:val="0"/>
        <w:kinsoku/>
        <w:wordWrap/>
        <w:overflowPunct/>
        <w:topLinePunct w:val="0"/>
        <w:autoSpaceDE/>
        <w:autoSpaceDN/>
        <w:bidi w:val="0"/>
        <w:adjustRightInd/>
        <w:snapToGrid w:val="0"/>
        <w:spacing w:line="500" w:lineRule="exact"/>
        <w:ind w:firstLine="480" w:firstLineChars="200"/>
        <w:jc w:val="both"/>
        <w:textAlignment w:val="auto"/>
        <w:outlineLvl w:val="9"/>
        <w:rPr>
          <w:rFonts w:hint="eastAsia" w:ascii="黑体" w:hAnsi="黑体" w:eastAsia="黑体"/>
          <w:bCs/>
          <w:sz w:val="24"/>
          <w:szCs w:val="24"/>
        </w:rPr>
        <w:sectPr>
          <w:type w:val="continuous"/>
          <w:pgSz w:w="12240" w:h="16498"/>
          <w:pgMar w:top="1145" w:right="1389" w:bottom="1134" w:left="1389" w:header="1043" w:footer="992" w:gutter="0"/>
          <w:pgNumType w:fmt="decimal"/>
          <w:cols w:space="425" w:num="1"/>
          <w:rtlGutter w:val="0"/>
          <w:docGrid w:type="lines" w:linePitch="312" w:charSpace="0"/>
        </w:sectPr>
      </w:pPr>
    </w:p>
    <w:p>
      <w:pPr>
        <w:pStyle w:val="4"/>
        <w:pageBreakBefore w:val="0"/>
        <w:widowControl w:val="0"/>
        <w:kinsoku/>
        <w:wordWrap/>
        <w:overflowPunct/>
        <w:topLinePunct w:val="0"/>
        <w:autoSpaceDE/>
        <w:autoSpaceDN/>
        <w:bidi w:val="0"/>
        <w:adjustRightInd/>
        <w:snapToGrid w:val="0"/>
        <w:spacing w:line="480" w:lineRule="exact"/>
        <w:textAlignment w:val="auto"/>
        <w:rPr>
          <w:rFonts w:hint="eastAsia"/>
        </w:rPr>
      </w:pPr>
      <w:r>
        <w:rPr>
          <w:rFonts w:hint="eastAsia"/>
        </w:rPr>
        <w:t>二、主要任务</w:t>
      </w:r>
    </w:p>
    <w:p>
      <w:pPr>
        <w:pStyle w:val="5"/>
        <w:bidi w:val="0"/>
        <w:rPr>
          <w:rFonts w:hint="eastAsia"/>
        </w:rPr>
      </w:pPr>
      <w:r>
        <w:rPr>
          <w:rFonts w:hint="eastAsia"/>
        </w:rPr>
        <w:t>（一）巩固拓展残疾人脱贫攻坚成果同乡村振兴有效衔接。</w:t>
      </w:r>
    </w:p>
    <w:p>
      <w:pPr>
        <w:pStyle w:val="42"/>
        <w:keepNext w:val="0"/>
        <w:keepLines w:val="0"/>
        <w:pageBreakBefore w:val="0"/>
        <w:widowControl w:val="0"/>
        <w:kinsoku/>
        <w:wordWrap/>
        <w:overflowPunct/>
        <w:topLinePunct w:val="0"/>
        <w:autoSpaceDE/>
        <w:autoSpaceDN/>
        <w:bidi w:val="0"/>
        <w:adjustRightInd/>
        <w:snapToGrid w:val="0"/>
        <w:spacing w:after="0" w:line="480" w:lineRule="exact"/>
        <w:ind w:firstLine="480" w:firstLineChars="200"/>
        <w:jc w:val="both"/>
        <w:textAlignment w:val="auto"/>
        <w:outlineLvl w:val="9"/>
        <w:rPr>
          <w:rFonts w:hint="eastAsia" w:ascii="仿宋_GB2312" w:hAnsi="仿宋" w:eastAsia="仿宋_GB2312" w:cs="仿宋"/>
          <w:sz w:val="24"/>
          <w:szCs w:val="24"/>
        </w:rPr>
      </w:pPr>
      <w:r>
        <w:rPr>
          <w:rFonts w:hint="eastAsia" w:ascii="仿宋_GB2312" w:hAnsi="仿宋" w:eastAsia="仿宋_GB2312" w:cs="仿宋"/>
          <w:sz w:val="24"/>
          <w:szCs w:val="24"/>
        </w:rPr>
        <w:t>加强与乡村振兴有效衔接，落实“四个不摘”要求，5年过渡期内保持帮扶政策总体稳定，调整优化现有帮扶政策，聚焦易致贫返贫人群，健全防止返贫动态监测和帮扶机制，对有致贫返贫风险的残疾人家庭早发现、早干预、早帮扶。对纳入监测范围的残疾人，在政策、项目、资金等方面给予支持，守住残疾人不发生规模性返贫底线。加强数据交换共享，实时掌握困难残疾人生活补贴和重度残疾人护理补贴、城乡居民基本医疗保险、城乡居民基本养老保险、社会救助、危房改造等保障性政策落实情况,做到应保尽保、应兜尽兜。完善利益联结机制,积极引导低收入残疾人家庭采取土地托管或林权、农村土地承包经营权入股等方式,参与乡村现代农业产业，分享产业链增值收益。实施助残帮扶项目,增强残疾人就业增收能力。充分发挥基层党组织、驻村第一书记和工作队在扶残助残中的重要作用。坚持和完善社会力量参与残疾人帮扶。(牵头单位:市乡村振兴发展中心;</w:t>
      </w:r>
      <w:r>
        <w:rPr>
          <w:rFonts w:hint="eastAsia" w:ascii="仿宋_GB2312" w:hAnsi="仿宋" w:eastAsia="仿宋_GB2312" w:cs="仿宋"/>
          <w:sz w:val="24"/>
          <w:szCs w:val="24"/>
          <w:lang w:eastAsia="zh-CN"/>
        </w:rPr>
        <w:t>配合</w:t>
      </w:r>
      <w:r>
        <w:rPr>
          <w:rFonts w:hint="eastAsia" w:ascii="仿宋_GB2312" w:hAnsi="仿宋" w:eastAsia="仿宋_GB2312" w:cs="仿宋"/>
          <w:sz w:val="24"/>
          <w:szCs w:val="24"/>
        </w:rPr>
        <w:t>单位:市委组织部、市民政局、财政局、自然资源局、</w:t>
      </w:r>
      <w:r>
        <w:rPr>
          <w:rFonts w:hint="eastAsia" w:ascii="仿宋_GB2312" w:hAnsi="仿宋" w:eastAsia="仿宋_GB2312" w:cs="仿宋"/>
          <w:sz w:val="24"/>
          <w:szCs w:val="24"/>
          <w:lang w:eastAsia="zh-CN"/>
        </w:rPr>
        <w:t>住房城乡</w:t>
      </w:r>
      <w:r>
        <w:rPr>
          <w:rFonts w:hint="eastAsia" w:ascii="仿宋_GB2312" w:hAnsi="仿宋" w:eastAsia="仿宋_GB2312" w:cs="仿宋"/>
          <w:spacing w:val="-6"/>
          <w:sz w:val="24"/>
          <w:szCs w:val="24"/>
          <w:lang w:eastAsia="zh-CN"/>
        </w:rPr>
        <w:t>建设</w:t>
      </w:r>
      <w:r>
        <w:rPr>
          <w:rFonts w:hint="eastAsia" w:ascii="仿宋_GB2312" w:hAnsi="仿宋" w:eastAsia="仿宋_GB2312" w:cs="仿宋"/>
          <w:spacing w:val="-6"/>
          <w:sz w:val="24"/>
          <w:szCs w:val="24"/>
        </w:rPr>
        <w:t>局、</w:t>
      </w:r>
      <w:r>
        <w:rPr>
          <w:rFonts w:hint="eastAsia" w:ascii="仿宋_GB2312" w:hAnsi="仿宋" w:eastAsia="仿宋_GB2312" w:cs="仿宋"/>
          <w:spacing w:val="-6"/>
          <w:sz w:val="24"/>
          <w:szCs w:val="24"/>
          <w:lang w:eastAsia="zh-CN"/>
        </w:rPr>
        <w:t>卫生健康和体育</w:t>
      </w:r>
      <w:r>
        <w:rPr>
          <w:rFonts w:hint="eastAsia" w:ascii="仿宋_GB2312" w:hAnsi="仿宋" w:eastAsia="仿宋_GB2312" w:cs="仿宋"/>
          <w:spacing w:val="-6"/>
          <w:sz w:val="24"/>
          <w:szCs w:val="24"/>
        </w:rPr>
        <w:t>局、医保局、市残联)</w:t>
      </w:r>
    </w:p>
    <w:p>
      <w:pPr>
        <w:pStyle w:val="5"/>
        <w:keepNext w:val="0"/>
        <w:keepLines w:val="0"/>
        <w:pageBreakBefore w:val="0"/>
        <w:widowControl w:val="0"/>
        <w:kinsoku/>
        <w:wordWrap/>
        <w:overflowPunct/>
        <w:topLinePunct w:val="0"/>
        <w:autoSpaceDE/>
        <w:autoSpaceDN/>
        <w:bidi w:val="0"/>
        <w:adjustRightInd/>
        <w:snapToGrid w:val="0"/>
        <w:spacing w:line="480" w:lineRule="exact"/>
        <w:textAlignment w:val="auto"/>
        <w:rPr>
          <w:rFonts w:hint="eastAsia"/>
        </w:rPr>
      </w:pPr>
      <w:r>
        <w:rPr>
          <w:rFonts w:hint="eastAsia"/>
        </w:rPr>
        <w:t>（二）完善残疾人民生保障体系,筑牢残疾人社会保障网底。</w:t>
      </w:r>
    </w:p>
    <w:p>
      <w:pPr>
        <w:pStyle w:val="42"/>
        <w:keepNext w:val="0"/>
        <w:keepLines w:val="0"/>
        <w:pageBreakBefore w:val="0"/>
        <w:widowControl w:val="0"/>
        <w:kinsoku/>
        <w:wordWrap/>
        <w:overflowPunct/>
        <w:topLinePunct w:val="0"/>
        <w:autoSpaceDE/>
        <w:autoSpaceDN/>
        <w:bidi w:val="0"/>
        <w:adjustRightInd/>
        <w:snapToGrid w:val="0"/>
        <w:spacing w:after="0" w:line="480" w:lineRule="exact"/>
        <w:ind w:firstLine="480" w:firstLineChars="200"/>
        <w:jc w:val="both"/>
        <w:textAlignment w:val="auto"/>
        <w:outlineLvl w:val="9"/>
        <w:rPr>
          <w:rFonts w:hint="eastAsia" w:ascii="仿宋_GB2312" w:hAnsi="仿宋" w:eastAsia="仿宋_GB2312" w:cs="仿宋"/>
          <w:spacing w:val="-6"/>
          <w:sz w:val="24"/>
          <w:szCs w:val="24"/>
        </w:rPr>
      </w:pPr>
      <w:r>
        <w:rPr>
          <w:rFonts w:hint="eastAsia" w:ascii="仿宋_GB2312" w:hAnsi="仿宋" w:eastAsia="仿宋_GB2312" w:cs="仿宋"/>
          <w:sz w:val="24"/>
          <w:szCs w:val="24"/>
        </w:rPr>
        <w:t>健全残疾人社会救助和社会保障体系。将符合条件的低收入家庭中一、二级重度残疾人和三级智力、精神残疾人纳入单独申请低保的范围,实现社会救助政策与残疾人帮扶政策相衔接,逐步扩大残疾人救助面。对于获得低保后生活仍有困难的重度残疾人,要按照不低于低保标准的5%-10%的比例提高救助水平。及时将符合特困人员认定条件的残疾人纳入特困救助供养范围。加强对生活无着流浪乞讨残疾人的救助安置和寻亲服务。全面落实重度残疾人参加医疗保险个人缴费部分政府资助政策,逐步扩大享受资助残疾人范围。做好对符合条件残疾人的医疗救助,强化医疗救助与基本医疗保险、大病保险的互补衔接,减轻困难残疾人医疗费用负担。落实《山西省工伤预防五年行动计划(2021</w:t>
      </w:r>
      <w:r>
        <w:rPr>
          <w:rFonts w:hint="eastAsia" w:ascii="仿宋_GB2312" w:hAnsi="仿宋" w:eastAsia="仿宋_GB2312" w:cs="仿宋"/>
          <w:sz w:val="24"/>
          <w:szCs w:val="24"/>
          <w:lang w:eastAsia="zh-CN"/>
        </w:rPr>
        <w:t>—</w:t>
      </w:r>
      <w:r>
        <w:rPr>
          <w:rFonts w:hint="eastAsia" w:ascii="仿宋_GB2312" w:hAnsi="仿宋" w:eastAsia="仿宋_GB2312" w:cs="仿宋"/>
          <w:sz w:val="24"/>
          <w:szCs w:val="24"/>
        </w:rPr>
        <w:t>2025年)实施方案》(晋人社厅〔2021〕24号),加强工伤预防和工伤职工康复工作,健全以基本养老保险和医疗保险为主体,商业保险为补充的多元化残疾人社会保障体系。在重大疫情、自然灾害、安全事故等突发事件中做好困难残疾人的救助保</w:t>
      </w:r>
      <w:r>
        <w:rPr>
          <w:rFonts w:hint="eastAsia" w:ascii="仿宋_GB2312" w:hAnsi="仿宋" w:eastAsia="仿宋_GB2312" w:cs="仿宋"/>
          <w:spacing w:val="-6"/>
          <w:sz w:val="24"/>
          <w:szCs w:val="24"/>
        </w:rPr>
        <w:t>护，及时给予临时救助,逐步提高临时救助标准。(</w:t>
      </w:r>
      <w:r>
        <w:rPr>
          <w:rFonts w:hint="eastAsia" w:ascii="仿宋_GB2312" w:hAnsi="仿宋" w:eastAsia="仿宋_GB2312" w:cs="仿宋"/>
          <w:spacing w:val="-6"/>
          <w:sz w:val="24"/>
          <w:szCs w:val="24"/>
          <w:lang w:eastAsia="zh-CN"/>
        </w:rPr>
        <w:t>牵头</w:t>
      </w:r>
      <w:r>
        <w:rPr>
          <w:rFonts w:hint="eastAsia" w:ascii="仿宋_GB2312" w:hAnsi="仿宋" w:eastAsia="仿宋_GB2312" w:cs="仿宋"/>
          <w:spacing w:val="-6"/>
          <w:sz w:val="24"/>
          <w:szCs w:val="24"/>
        </w:rPr>
        <w:t>单位:市民政局、人社局、</w:t>
      </w:r>
      <w:r>
        <w:rPr>
          <w:rFonts w:hint="eastAsia" w:ascii="仿宋_GB2312" w:hAnsi="仿宋" w:eastAsia="仿宋_GB2312" w:cs="仿宋"/>
          <w:spacing w:val="-6"/>
          <w:sz w:val="24"/>
          <w:szCs w:val="24"/>
          <w:lang w:eastAsia="zh-CN"/>
        </w:rPr>
        <w:t>卫生健康和体育</w:t>
      </w:r>
      <w:r>
        <w:rPr>
          <w:rFonts w:hint="eastAsia" w:ascii="仿宋_GB2312" w:hAnsi="仿宋" w:eastAsia="仿宋_GB2312" w:cs="仿宋"/>
          <w:spacing w:val="-6"/>
          <w:sz w:val="24"/>
          <w:szCs w:val="24"/>
        </w:rPr>
        <w:t>局、医保局、原平银保监组、市残联)</w:t>
      </w:r>
    </w:p>
    <w:p>
      <w:pPr>
        <w:pStyle w:val="42"/>
        <w:keepNext w:val="0"/>
        <w:keepLines w:val="0"/>
        <w:pageBreakBefore w:val="0"/>
        <w:widowControl w:val="0"/>
        <w:kinsoku/>
        <w:wordWrap/>
        <w:overflowPunct/>
        <w:topLinePunct w:val="0"/>
        <w:autoSpaceDE/>
        <w:autoSpaceDN/>
        <w:bidi w:val="0"/>
        <w:adjustRightInd/>
        <w:snapToGrid w:val="0"/>
        <w:spacing w:after="0" w:line="430" w:lineRule="exact"/>
        <w:ind w:firstLine="480" w:firstLineChars="200"/>
        <w:jc w:val="both"/>
        <w:textAlignment w:val="auto"/>
        <w:outlineLvl w:val="9"/>
        <w:rPr>
          <w:rFonts w:hint="eastAsia" w:ascii="仿宋_GB2312" w:hAnsi="仿宋" w:eastAsia="仿宋_GB2312" w:cs="仿宋"/>
          <w:sz w:val="24"/>
          <w:szCs w:val="24"/>
        </w:rPr>
      </w:pPr>
      <w:r>
        <w:rPr>
          <w:rFonts w:hint="eastAsia" w:ascii="仿宋_GB2312" w:hAnsi="仿宋" w:eastAsia="仿宋_GB2312" w:cs="仿宋"/>
          <w:sz w:val="24"/>
          <w:szCs w:val="24"/>
        </w:rPr>
        <w:t>加快发展残疾人托养照护服务。建立残疾人长期照护服务体系，通过政府购买服务或引导志愿服务，对社会救助家庭中生活不能自理的残疾人提供必要的访视、照料服务,增强特困救助供养服务机构对残疾人特困对象的照护服务能力,实现与老年护理照料服务体系的衔接和资源共享。继续实施“阳光家园计划”项目和彩票公益金残疾人托养服务项目,提升为就业年龄段(16</w:t>
      </w:r>
      <w:r>
        <w:rPr>
          <w:rFonts w:hint="eastAsia" w:ascii="仿宋_GB2312" w:hAnsi="仿宋" w:eastAsia="仿宋_GB2312" w:cs="仿宋"/>
          <w:sz w:val="24"/>
          <w:szCs w:val="24"/>
          <w:lang w:eastAsia="zh-CN"/>
        </w:rPr>
        <w:t>—</w:t>
      </w:r>
      <w:r>
        <w:rPr>
          <w:rFonts w:hint="eastAsia" w:ascii="仿宋_GB2312" w:hAnsi="仿宋" w:eastAsia="仿宋_GB2312" w:cs="仿宋"/>
          <w:sz w:val="24"/>
          <w:szCs w:val="24"/>
        </w:rPr>
        <w:t>59周岁)智力、精神和重度肢体残疾人提供托养服务的能力,加强对托养服务机构的扶持,实施托养服务机构规范化建设,加强专业人员队伍建设,建立服务绩效评估体制。探索为残疾人提供多类型、差别化的居家托养服务。(牵头单位</w:t>
      </w:r>
      <w:r>
        <w:rPr>
          <w:rFonts w:hint="eastAsia" w:ascii="仿宋_GB2312" w:hAnsi="仿宋" w:eastAsia="仿宋_GB2312" w:cs="仿宋"/>
          <w:sz w:val="24"/>
          <w:szCs w:val="24"/>
          <w:lang w:eastAsia="zh-CN"/>
        </w:rPr>
        <w:t>：</w:t>
      </w:r>
      <w:r>
        <w:rPr>
          <w:rFonts w:hint="eastAsia" w:ascii="仿宋_GB2312" w:hAnsi="仿宋" w:eastAsia="仿宋_GB2312" w:cs="仿宋"/>
          <w:sz w:val="24"/>
          <w:szCs w:val="24"/>
        </w:rPr>
        <w:t>市民政局、市残联；配合单位：市财政局)</w:t>
      </w:r>
    </w:p>
    <w:p>
      <w:pPr>
        <w:pStyle w:val="42"/>
        <w:keepNext w:val="0"/>
        <w:keepLines w:val="0"/>
        <w:pageBreakBefore w:val="0"/>
        <w:widowControl w:val="0"/>
        <w:kinsoku/>
        <w:wordWrap/>
        <w:overflowPunct/>
        <w:topLinePunct w:val="0"/>
        <w:autoSpaceDE/>
        <w:autoSpaceDN/>
        <w:bidi w:val="0"/>
        <w:adjustRightInd/>
        <w:snapToGrid w:val="0"/>
        <w:spacing w:after="0" w:line="430" w:lineRule="exact"/>
        <w:ind w:firstLine="480" w:firstLineChars="200"/>
        <w:jc w:val="both"/>
        <w:textAlignment w:val="auto"/>
        <w:outlineLvl w:val="9"/>
        <w:rPr>
          <w:rFonts w:hint="eastAsia" w:ascii="仿宋_GB2312" w:hAnsi="仿宋" w:eastAsia="仿宋_GB2312" w:cs="仿宋"/>
          <w:sz w:val="24"/>
          <w:szCs w:val="24"/>
          <w:lang w:eastAsia="zh-CN"/>
        </w:rPr>
      </w:pPr>
      <w:r>
        <w:rPr>
          <w:rFonts w:hint="eastAsia" w:ascii="仿宋_GB2312" w:hAnsi="仿宋" w:eastAsia="仿宋_GB2312" w:cs="仿宋"/>
          <w:sz w:val="24"/>
          <w:szCs w:val="24"/>
        </w:rPr>
        <w:t>落实残疾人社会福利和社会优待政策。完善困难残疾人生活补贴和重度残疾人护理补贴制度，落实补贴标准动态调整机制，加强残疾人两项补贴制度与其他制度的衔接，逐步扩大补贴对象覆盖面，依托信息化服务平台，做好资格认定申请“跨省通办”工作。落实残疾儿童康复救助制度，将符合条件的儿童福利机构纳入残疾儿童定点康复机构，并向困难家庭残疾儿童开放服务。落实低收入残疾人家庭生活用水、电、气、暖优惠补贴政策和电信业务资费优惠政策。落实残疾人机动轮椅车燃油补贴和残疾人驾驶机动车政策。落实持《中华人民共和国残疾人证》的残疾人在全市范围内免费乘坐市内公共汽车、城市轨道交通工具等优待政策，铁路、民航等为残疾人提供优惠便利。加强残疾孤儿、事实无人抚养残疾儿童医疗、康复、教育等服务，合理确定基本生活费标准，提升儿童福利机构安全管理水平和服务质量。加快建设精神卫生福利服务体系，为特殊困难精神残疾人提供康复、托养照护等服务。优先解决低收入残疾人家庭住房安全问题。持续支持符合条件的农村低收入残疾人家庭实施危房改造，对符合条件的城镇残疾人家庭优先配租公租房。落实残疾军人和伤残民警抚恤优待政策。做好残疾评定工作，为符合条件的残疾人残疾评定提供补贴。（</w:t>
      </w:r>
      <w:r>
        <w:rPr>
          <w:rFonts w:hint="eastAsia" w:ascii="仿宋_GB2312" w:hAnsi="仿宋" w:eastAsia="仿宋_GB2312" w:cs="仿宋"/>
          <w:sz w:val="24"/>
          <w:szCs w:val="24"/>
          <w:lang w:eastAsia="zh-CN"/>
        </w:rPr>
        <w:t>牵头</w:t>
      </w:r>
      <w:r>
        <w:rPr>
          <w:rFonts w:hint="eastAsia" w:ascii="仿宋_GB2312" w:hAnsi="仿宋" w:eastAsia="仿宋_GB2312" w:cs="仿宋"/>
          <w:sz w:val="24"/>
          <w:szCs w:val="24"/>
        </w:rPr>
        <w:t>单位：市教科局、公安局、民政局、</w:t>
      </w:r>
      <w:r>
        <w:rPr>
          <w:rFonts w:hint="eastAsia" w:ascii="仿宋_GB2312" w:hAnsi="仿宋" w:eastAsia="仿宋_GB2312" w:cs="仿宋"/>
          <w:sz w:val="24"/>
          <w:szCs w:val="24"/>
          <w:lang w:eastAsia="zh-CN"/>
        </w:rPr>
        <w:t>住房城乡建设</w:t>
      </w:r>
      <w:r>
        <w:rPr>
          <w:rFonts w:hint="eastAsia" w:ascii="仿宋_GB2312" w:hAnsi="仿宋" w:eastAsia="仿宋_GB2312" w:cs="仿宋"/>
          <w:sz w:val="24"/>
          <w:szCs w:val="24"/>
        </w:rPr>
        <w:t>局、交通运输局、</w:t>
      </w:r>
      <w:r>
        <w:rPr>
          <w:rFonts w:hint="eastAsia" w:ascii="仿宋_GB2312" w:hAnsi="仿宋" w:eastAsia="仿宋_GB2312" w:cs="仿宋"/>
          <w:sz w:val="24"/>
          <w:szCs w:val="24"/>
          <w:lang w:eastAsia="zh-CN"/>
        </w:rPr>
        <w:t>卫生健康和体育</w:t>
      </w:r>
      <w:r>
        <w:rPr>
          <w:rFonts w:hint="eastAsia" w:ascii="仿宋_GB2312" w:hAnsi="仿宋" w:eastAsia="仿宋_GB2312" w:cs="仿宋"/>
          <w:sz w:val="24"/>
          <w:szCs w:val="24"/>
        </w:rPr>
        <w:t>局、退役军人局、工信局、市残联)</w:t>
      </w:r>
    </w:p>
    <w:p>
      <w:pPr>
        <w:keepNext w:val="0"/>
        <w:keepLines w:val="0"/>
        <w:pageBreakBefore w:val="0"/>
        <w:widowControl w:val="0"/>
        <w:kinsoku/>
        <w:wordWrap/>
        <w:overflowPunct/>
        <w:topLinePunct w:val="0"/>
        <w:autoSpaceDE/>
        <w:autoSpaceDN/>
        <w:bidi w:val="0"/>
        <w:adjustRightInd/>
        <w:snapToGrid w:val="0"/>
        <w:spacing w:line="430" w:lineRule="exact"/>
        <w:jc w:val="both"/>
        <w:textAlignment w:val="auto"/>
        <w:outlineLvl w:val="9"/>
        <w:rPr>
          <w:rFonts w:hint="eastAsia" w:ascii="仿宋_GB2312" w:hAnsi="仿宋" w:eastAsia="仿宋_GB2312" w:cs="仿宋"/>
          <w:sz w:val="24"/>
          <w:szCs w:val="24"/>
          <w:lang w:eastAsia="zh-CN"/>
        </w:rPr>
      </w:pPr>
      <w:r>
        <w:rPr>
          <w:rFonts w:hint="eastAsia" w:ascii="仿宋_GB2312" w:hAnsi="仿宋" w:eastAsia="仿宋_GB2312" w:cs="仿宋"/>
          <w:sz w:val="24"/>
          <w:szCs w:val="24"/>
        </w:rPr>
        <w:t>加强突发公共事件中对残疾人的保护。制订突发公共事件应急预案,把残疾人列为重大疫情、自然灾害、安全事故等突发公共事件中的重点社会支持和防护保护对象。对因疫情等突发公共事件隔离或照护人隔离而独自在家的残疾人,明确包保责任人,及时走访探视、提供必要帮助。加强残疾人集中场所和残疾人服务机构安全保障、应急服务、消防安全能力建设。村(社区)通过结对帮扶、科普宣传、应急处置演练等方式,积极协助残疾人应对突发事件,使残疾人在应对突发灾害事故中得到及时救助与疏散,提高残疾人自救互救能力。(牵头单位:市应急局;参与单位:市教科局、公安局、</w:t>
      </w:r>
      <w:r>
        <w:rPr>
          <w:rFonts w:hint="eastAsia" w:ascii="仿宋_GB2312" w:hAnsi="仿宋" w:eastAsia="仿宋_GB2312" w:cs="仿宋"/>
          <w:sz w:val="24"/>
          <w:szCs w:val="24"/>
          <w:lang w:eastAsia="zh-CN"/>
        </w:rPr>
        <w:t>卫生健康和体育</w:t>
      </w:r>
      <w:r>
        <w:rPr>
          <w:rFonts w:hint="eastAsia" w:ascii="仿宋_GB2312" w:hAnsi="仿宋" w:eastAsia="仿宋_GB2312" w:cs="仿宋"/>
          <w:sz w:val="24"/>
          <w:szCs w:val="24"/>
        </w:rPr>
        <w:t>局、市残联、各乡</w:t>
      </w:r>
      <w:r>
        <w:rPr>
          <w:rFonts w:hint="eastAsia" w:ascii="仿宋_GB2312" w:hAnsi="仿宋" w:eastAsia="仿宋_GB2312" w:cs="仿宋"/>
          <w:sz w:val="24"/>
          <w:szCs w:val="24"/>
          <w:lang w:eastAsia="zh-CN"/>
        </w:rPr>
        <w:t>（</w:t>
      </w:r>
      <w:r>
        <w:rPr>
          <w:rFonts w:hint="eastAsia" w:ascii="仿宋_GB2312" w:hAnsi="仿宋" w:eastAsia="仿宋_GB2312" w:cs="仿宋"/>
          <w:sz w:val="24"/>
          <w:szCs w:val="24"/>
        </w:rPr>
        <w:t>镇</w:t>
      </w:r>
      <w:r>
        <w:rPr>
          <w:rFonts w:hint="eastAsia" w:ascii="仿宋_GB2312" w:hAnsi="仿宋" w:eastAsia="仿宋_GB2312" w:cs="仿宋"/>
          <w:sz w:val="24"/>
          <w:szCs w:val="24"/>
          <w:lang w:eastAsia="zh-CN"/>
        </w:rPr>
        <w:t>、</w:t>
      </w:r>
      <w:r>
        <w:rPr>
          <w:rFonts w:hint="eastAsia" w:ascii="仿宋_GB2312" w:hAnsi="仿宋" w:eastAsia="仿宋_GB2312" w:cs="仿宋"/>
          <w:sz w:val="24"/>
          <w:szCs w:val="24"/>
        </w:rPr>
        <w:t>街道</w:t>
      </w:r>
      <w:r>
        <w:rPr>
          <w:rFonts w:hint="eastAsia" w:ascii="仿宋_GB2312" w:hAnsi="仿宋" w:eastAsia="仿宋_GB2312" w:cs="仿宋"/>
          <w:sz w:val="24"/>
          <w:szCs w:val="24"/>
          <w:lang w:eastAsia="zh-CN"/>
        </w:rPr>
        <w:t>）</w:t>
      </w:r>
    </w:p>
    <w:p>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 w:eastAsia="仿宋_GB2312" w:cs="仿宋"/>
          <w:sz w:val="24"/>
          <w:szCs w:val="24"/>
          <w:lang w:eastAsia="zh-CN"/>
        </w:rPr>
        <w:sectPr>
          <w:type w:val="continuous"/>
          <w:pgSz w:w="12240" w:h="16498"/>
          <w:pgMar w:top="1145" w:right="1389" w:bottom="1134" w:left="1389" w:header="1043" w:footer="992" w:gutter="0"/>
          <w:pgNumType w:fmt="decimal"/>
          <w:cols w:equalWidth="0" w:num="2">
            <w:col w:w="4518" w:space="425"/>
            <w:col w:w="4518"/>
          </w:cols>
          <w:rtlGutter w:val="0"/>
          <w:docGrid w:type="lines" w:linePitch="312" w:charSpace="0"/>
        </w:sectPr>
      </w:pPr>
    </w:p>
    <w:tbl>
      <w:tblPr>
        <w:tblStyle w:val="18"/>
        <w:tblpPr w:leftFromText="180" w:rightFromText="180" w:vertAnchor="page" w:horzAnchor="page" w:tblpXSpec="center" w:tblpY="1776"/>
        <w:tblOverlap w:val="never"/>
        <w:tblW w:w="5002"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94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exact"/>
          <w:jc w:val="center"/>
        </w:trPr>
        <w:tc>
          <w:tcPr>
            <w:tcW w:w="5000" w:type="pct"/>
            <w:tcBorders>
              <w:top w:val="single" w:color="000000" w:sz="2" w:space="0"/>
              <w:left w:val="single" w:color="000000" w:sz="4" w:space="0"/>
              <w:bottom w:val="single" w:color="000000" w:sz="2"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500" w:lineRule="exact"/>
              <w:jc w:val="center"/>
              <w:textAlignment w:val="auto"/>
              <w:outlineLvl w:val="9"/>
              <w:rPr>
                <w:rFonts w:ascii="宋体" w:hAnsi="宋体" w:cs="宋体"/>
                <w:sz w:val="30"/>
                <w:szCs w:val="30"/>
              </w:rPr>
            </w:pPr>
            <w:r>
              <w:rPr>
                <w:rFonts w:hint="eastAsia" w:ascii="黑体" w:hAnsi="黑体" w:eastAsia="黑体" w:cs="黑体"/>
                <w:spacing w:val="6"/>
                <w:sz w:val="28"/>
                <w:szCs w:val="28"/>
              </w:rPr>
              <w:t>专栏</w:t>
            </w:r>
            <w:r>
              <w:rPr>
                <w:rFonts w:ascii="黑体" w:hAnsi="黑体" w:eastAsia="黑体" w:cs="黑体"/>
                <w:spacing w:val="6"/>
                <w:sz w:val="28"/>
                <w:szCs w:val="28"/>
              </w:rPr>
              <w:t>2</w:t>
            </w:r>
            <w:r>
              <w:rPr>
                <w:rFonts w:hint="eastAsia" w:ascii="黑体" w:hAnsi="黑体" w:eastAsia="黑体" w:cs="黑体"/>
                <w:spacing w:val="6"/>
                <w:sz w:val="28"/>
                <w:szCs w:val="28"/>
              </w:rPr>
              <w:t xml:space="preserve">  残疾人社会保障重点项目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40" w:hRule="atLeast"/>
          <w:jc w:val="center"/>
        </w:trPr>
        <w:tc>
          <w:tcPr>
            <w:tcW w:w="5000" w:type="pct"/>
            <w:tcBorders>
              <w:top w:val="single" w:color="000000" w:sz="2" w:space="0"/>
              <w:left w:val="single" w:color="000000" w:sz="4" w:space="0"/>
              <w:bottom w:val="single" w:color="000000" w:sz="2"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val="0"/>
              <w:spacing w:line="450" w:lineRule="exact"/>
              <w:ind w:firstLine="482"/>
              <w:textAlignment w:val="auto"/>
              <w:outlineLvl w:val="9"/>
              <w:rPr>
                <w:rFonts w:hint="eastAsia" w:ascii="仿宋_GB2312" w:hAnsi="仿宋" w:eastAsia="仿宋_GB2312" w:cs="仿宋"/>
                <w:color w:val="000000"/>
                <w:kern w:val="0"/>
                <w:sz w:val="24"/>
                <w:szCs w:val="24"/>
                <w:lang w:val="zh-TW" w:eastAsia="zh-TW" w:bidi="ar-SA"/>
              </w:rPr>
            </w:pPr>
            <w:r>
              <w:rPr>
                <w:rFonts w:hint="eastAsia" w:ascii="仿宋_GB2312" w:hAnsi="仿宋" w:eastAsia="仿宋_GB2312" w:cs="仿宋"/>
                <w:color w:val="000000"/>
                <w:kern w:val="0"/>
                <w:sz w:val="24"/>
                <w:szCs w:val="24"/>
                <w:lang w:val="zh-TW" w:eastAsia="zh-TW" w:bidi="ar-SA"/>
              </w:rPr>
              <w:t>1.基本生活救助。将符合条件的残疾人和残疾人家庭全部纳入特困人员救助供养或最低生活保障范围,对获得低保后生活仍有困难的重度残疾人按照不低于当地低保标准5%—10%的比例提高救助水平。</w:t>
            </w:r>
          </w:p>
          <w:p>
            <w:pPr>
              <w:keepNext w:val="0"/>
              <w:keepLines w:val="0"/>
              <w:pageBreakBefore w:val="0"/>
              <w:widowControl w:val="0"/>
              <w:kinsoku/>
              <w:wordWrap/>
              <w:overflowPunct/>
              <w:topLinePunct w:val="0"/>
              <w:autoSpaceDE/>
              <w:autoSpaceDN/>
              <w:bidi w:val="0"/>
              <w:adjustRightInd/>
              <w:snapToGrid w:val="0"/>
              <w:spacing w:line="450" w:lineRule="exact"/>
              <w:ind w:firstLine="480"/>
              <w:textAlignment w:val="auto"/>
              <w:outlineLvl w:val="9"/>
              <w:rPr>
                <w:rFonts w:hint="eastAsia" w:ascii="仿宋_GB2312" w:hAnsi="仿宋" w:eastAsia="仿宋_GB2312" w:cs="仿宋"/>
                <w:color w:val="000000"/>
                <w:kern w:val="0"/>
                <w:sz w:val="24"/>
                <w:szCs w:val="24"/>
                <w:lang w:val="zh-TW" w:eastAsia="zh-TW" w:bidi="ar-SA"/>
              </w:rPr>
            </w:pPr>
            <w:r>
              <w:rPr>
                <w:rFonts w:hint="eastAsia" w:ascii="仿宋_GB2312" w:hAnsi="仿宋" w:eastAsia="仿宋_GB2312" w:cs="仿宋"/>
                <w:color w:val="000000"/>
                <w:kern w:val="0"/>
                <w:sz w:val="24"/>
                <w:szCs w:val="24"/>
                <w:lang w:val="zh-TW" w:eastAsia="zh-TW" w:bidi="ar-SA"/>
              </w:rPr>
              <w:t>2.困难残疾人生活补贴和重度残疾人护理补贴。落实“两项补贴”标准动态调整机制,逐步扩大补贴对象覆盖面,实现“两项补贴”资格认定申请“跨省通办”。</w:t>
            </w:r>
          </w:p>
          <w:p>
            <w:pPr>
              <w:keepNext w:val="0"/>
              <w:keepLines w:val="0"/>
              <w:pageBreakBefore w:val="0"/>
              <w:widowControl w:val="0"/>
              <w:kinsoku/>
              <w:wordWrap/>
              <w:overflowPunct/>
              <w:topLinePunct w:val="0"/>
              <w:autoSpaceDE/>
              <w:autoSpaceDN/>
              <w:bidi w:val="0"/>
              <w:adjustRightInd/>
              <w:snapToGrid w:val="0"/>
              <w:spacing w:line="450" w:lineRule="exact"/>
              <w:ind w:firstLine="480"/>
              <w:textAlignment w:val="auto"/>
              <w:outlineLvl w:val="9"/>
              <w:rPr>
                <w:rFonts w:hint="eastAsia" w:ascii="仿宋_GB2312" w:hAnsi="仿宋" w:eastAsia="仿宋_GB2312" w:cs="仿宋"/>
                <w:color w:val="000000"/>
                <w:kern w:val="0"/>
                <w:sz w:val="24"/>
                <w:szCs w:val="24"/>
                <w:lang w:val="zh-TW" w:eastAsia="zh-TW" w:bidi="ar-SA"/>
              </w:rPr>
            </w:pPr>
            <w:r>
              <w:rPr>
                <w:rFonts w:hint="eastAsia" w:ascii="仿宋_GB2312" w:hAnsi="仿宋" w:eastAsia="仿宋_GB2312" w:cs="仿宋"/>
                <w:color w:val="000000"/>
                <w:kern w:val="0"/>
                <w:sz w:val="24"/>
                <w:szCs w:val="24"/>
                <w:lang w:val="zh-TW" w:eastAsia="zh-TW" w:bidi="ar-SA"/>
              </w:rPr>
              <w:t>3.残疾人基本型辅助器具适配资助。建立健全补贴制度,对符合条件有基本型辅助器具需求的残疾人给予支持。</w:t>
            </w:r>
          </w:p>
          <w:p>
            <w:pPr>
              <w:keepNext w:val="0"/>
              <w:keepLines w:val="0"/>
              <w:pageBreakBefore w:val="0"/>
              <w:widowControl w:val="0"/>
              <w:kinsoku/>
              <w:wordWrap/>
              <w:overflowPunct/>
              <w:topLinePunct w:val="0"/>
              <w:autoSpaceDE/>
              <w:autoSpaceDN/>
              <w:bidi w:val="0"/>
              <w:adjustRightInd/>
              <w:snapToGrid w:val="0"/>
              <w:spacing w:line="450" w:lineRule="exact"/>
              <w:ind w:firstLine="480"/>
              <w:textAlignment w:val="auto"/>
              <w:outlineLvl w:val="9"/>
              <w:rPr>
                <w:rFonts w:hint="eastAsia" w:ascii="仿宋_GB2312" w:hAnsi="仿宋" w:eastAsia="仿宋_GB2312" w:cs="仿宋"/>
                <w:color w:val="000000"/>
                <w:kern w:val="0"/>
                <w:sz w:val="24"/>
                <w:szCs w:val="24"/>
                <w:lang w:val="zh-TW" w:eastAsia="zh-TW" w:bidi="ar-SA"/>
              </w:rPr>
            </w:pPr>
            <w:r>
              <w:rPr>
                <w:rFonts w:hint="eastAsia" w:ascii="仿宋_GB2312" w:hAnsi="仿宋" w:eastAsia="仿宋_GB2312" w:cs="仿宋"/>
                <w:color w:val="000000"/>
                <w:kern w:val="0"/>
                <w:sz w:val="24"/>
                <w:szCs w:val="24"/>
                <w:lang w:val="zh-TW" w:eastAsia="zh-TW" w:bidi="ar-SA"/>
              </w:rPr>
              <w:t>4.残疾评定补贴。对残疾评定给予补贴,为符合条件的残疾人残疾评定提供便利服务。</w:t>
            </w:r>
          </w:p>
          <w:p>
            <w:pPr>
              <w:keepNext w:val="0"/>
              <w:keepLines w:val="0"/>
              <w:pageBreakBefore w:val="0"/>
              <w:widowControl w:val="0"/>
              <w:kinsoku/>
              <w:wordWrap/>
              <w:overflowPunct/>
              <w:topLinePunct w:val="0"/>
              <w:autoSpaceDE/>
              <w:autoSpaceDN/>
              <w:bidi w:val="0"/>
              <w:adjustRightInd/>
              <w:snapToGrid w:val="0"/>
              <w:spacing w:line="450" w:lineRule="exact"/>
              <w:ind w:firstLine="480" w:firstLineChars="200"/>
              <w:textAlignment w:val="auto"/>
              <w:outlineLvl w:val="9"/>
              <w:rPr>
                <w:rFonts w:hint="eastAsia" w:ascii="仿宋_GB2312" w:hAnsi="仿宋" w:eastAsia="仿宋_GB2312" w:cs="仿宋"/>
                <w:color w:val="000000"/>
                <w:kern w:val="0"/>
                <w:sz w:val="24"/>
                <w:szCs w:val="24"/>
                <w:lang w:val="zh-TW" w:eastAsia="zh-TW" w:bidi="ar-SA"/>
              </w:rPr>
            </w:pPr>
            <w:r>
              <w:rPr>
                <w:rFonts w:hint="eastAsia" w:ascii="仿宋_GB2312" w:hAnsi="仿宋" w:eastAsia="仿宋_GB2312" w:cs="仿宋"/>
                <w:color w:val="000000"/>
                <w:kern w:val="0"/>
                <w:sz w:val="24"/>
                <w:szCs w:val="24"/>
                <w:lang w:val="zh-TW" w:eastAsia="zh-TW" w:bidi="ar-SA"/>
              </w:rPr>
              <w:t>5.商业保险补贴。支持残疾人参加意外伤害、补充养老等商业保险,条件许可时对参加商业保险的困难残疾人给予补贴、代缴。</w:t>
            </w:r>
          </w:p>
          <w:p>
            <w:pPr>
              <w:keepNext w:val="0"/>
              <w:keepLines w:val="0"/>
              <w:pageBreakBefore w:val="0"/>
              <w:widowControl w:val="0"/>
              <w:kinsoku/>
              <w:wordWrap/>
              <w:overflowPunct/>
              <w:topLinePunct w:val="0"/>
              <w:autoSpaceDE/>
              <w:autoSpaceDN/>
              <w:bidi w:val="0"/>
              <w:adjustRightInd/>
              <w:snapToGrid w:val="0"/>
              <w:spacing w:line="450" w:lineRule="exact"/>
              <w:ind w:firstLine="480" w:firstLineChars="200"/>
              <w:textAlignment w:val="auto"/>
              <w:outlineLvl w:val="9"/>
              <w:rPr>
                <w:rFonts w:hint="eastAsia" w:ascii="仿宋_GB2312" w:hAnsi="仿宋" w:eastAsia="仿宋_GB2312" w:cs="仿宋"/>
                <w:color w:val="000000"/>
                <w:kern w:val="0"/>
                <w:sz w:val="24"/>
                <w:szCs w:val="24"/>
                <w:lang w:val="zh-TW" w:eastAsia="zh-TW" w:bidi="ar-SA"/>
              </w:rPr>
            </w:pPr>
            <w:r>
              <w:rPr>
                <w:rFonts w:hint="eastAsia" w:ascii="仿宋_GB2312" w:hAnsi="仿宋" w:eastAsia="仿宋_GB2312" w:cs="仿宋"/>
                <w:color w:val="000000"/>
                <w:kern w:val="0"/>
                <w:sz w:val="24"/>
                <w:szCs w:val="24"/>
                <w:lang w:val="zh-TW" w:eastAsia="zh-TW" w:bidi="ar-SA"/>
              </w:rPr>
              <w:t>6.困难残疾人走访探视服务。市、乡、村组织对困难残疾人开展经常性走访探视,及时反映和解决问题。</w:t>
            </w:r>
          </w:p>
          <w:p>
            <w:pPr>
              <w:keepNext w:val="0"/>
              <w:keepLines w:val="0"/>
              <w:pageBreakBefore w:val="0"/>
              <w:widowControl w:val="0"/>
              <w:kinsoku/>
              <w:wordWrap/>
              <w:overflowPunct/>
              <w:topLinePunct w:val="0"/>
              <w:autoSpaceDE/>
              <w:autoSpaceDN/>
              <w:bidi w:val="0"/>
              <w:adjustRightInd/>
              <w:snapToGrid w:val="0"/>
              <w:spacing w:line="450" w:lineRule="exact"/>
              <w:ind w:firstLine="480" w:firstLineChars="200"/>
              <w:textAlignment w:val="auto"/>
              <w:outlineLvl w:val="9"/>
              <w:rPr>
                <w:rFonts w:hint="eastAsia" w:ascii="仿宋_GB2312" w:hAnsi="仿宋" w:eastAsia="仿宋_GB2312" w:cs="仿宋"/>
                <w:color w:val="000000"/>
                <w:kern w:val="0"/>
                <w:sz w:val="24"/>
                <w:szCs w:val="24"/>
                <w:lang w:val="zh-TW" w:eastAsia="zh-TW" w:bidi="ar-SA"/>
              </w:rPr>
            </w:pPr>
            <w:r>
              <w:rPr>
                <w:rFonts w:hint="eastAsia" w:ascii="仿宋_GB2312" w:hAnsi="仿宋" w:eastAsia="仿宋_GB2312" w:cs="仿宋"/>
                <w:color w:val="000000"/>
                <w:kern w:val="0"/>
                <w:sz w:val="24"/>
                <w:szCs w:val="24"/>
                <w:lang w:val="zh-TW" w:eastAsia="zh-TW" w:bidi="ar-SA"/>
              </w:rPr>
              <w:t>7.低收入重度残疾人照护服务。低收入重度残疾人数量和服务需求较多的乡(镇、街道)应建立集中照护服务机构;有条件的村(社区)依托公共服务设施,为符合条件的重度残疾人提供多种形式的社会化照护服务。</w:t>
            </w:r>
          </w:p>
          <w:p>
            <w:pPr>
              <w:keepNext w:val="0"/>
              <w:keepLines w:val="0"/>
              <w:pageBreakBefore w:val="0"/>
              <w:widowControl w:val="0"/>
              <w:kinsoku/>
              <w:wordWrap/>
              <w:overflowPunct/>
              <w:topLinePunct w:val="0"/>
              <w:autoSpaceDE/>
              <w:autoSpaceDN/>
              <w:bidi w:val="0"/>
              <w:adjustRightInd/>
              <w:snapToGrid w:val="0"/>
              <w:spacing w:line="450" w:lineRule="exact"/>
              <w:ind w:firstLine="480" w:firstLineChars="200"/>
              <w:textAlignment w:val="auto"/>
              <w:outlineLvl w:val="9"/>
              <w:rPr>
                <w:rFonts w:ascii="仿宋" w:hAnsi="仿宋" w:eastAsia="仿宋" w:cs="仿宋"/>
                <w:spacing w:val="4"/>
                <w:sz w:val="24"/>
              </w:rPr>
            </w:pPr>
            <w:r>
              <w:rPr>
                <w:rFonts w:hint="eastAsia" w:ascii="仿宋_GB2312" w:hAnsi="仿宋" w:eastAsia="仿宋_GB2312" w:cs="仿宋"/>
                <w:color w:val="000000"/>
                <w:kern w:val="0"/>
                <w:sz w:val="24"/>
                <w:szCs w:val="24"/>
                <w:lang w:val="zh-TW" w:eastAsia="zh-TW" w:bidi="ar-SA"/>
              </w:rPr>
              <w:t>8.就业年龄段残疾人托养服务。规划建设残疾人托养服务机构。乡(镇、街道)根据需要建立残疾人托养服务机构。充分依托村(社区)党群服务中心、社会福利机构、医疗机构、农村集体闲置资源等,为就业年龄段智力、残疾、精神残疾和重度肢体残疾人提供生活照料和护理、能力训练、辅助性就业等服务。</w:t>
            </w:r>
          </w:p>
        </w:tc>
      </w:tr>
    </w:tbl>
    <w:p>
      <w:pPr>
        <w:keepNext w:val="0"/>
        <w:keepLines w:val="0"/>
        <w:pageBreakBefore w:val="0"/>
        <w:widowControl w:val="0"/>
        <w:kinsoku/>
        <w:wordWrap/>
        <w:overflowPunct/>
        <w:topLinePunct w:val="0"/>
        <w:autoSpaceDE/>
        <w:autoSpaceDN/>
        <w:bidi w:val="0"/>
        <w:adjustRightInd/>
        <w:snapToGrid w:val="0"/>
        <w:spacing w:line="500" w:lineRule="exact"/>
        <w:ind w:firstLine="483" w:firstLineChars="198"/>
        <w:textAlignment w:val="auto"/>
        <w:outlineLvl w:val="9"/>
        <w:rPr>
          <w:rFonts w:hint="eastAsia" w:ascii="楷体_GB2312" w:hAnsi="楷体" w:eastAsia="楷体_GB2312" w:cs="楷体"/>
          <w:w w:val="102"/>
          <w:sz w:val="24"/>
          <w:szCs w:val="24"/>
        </w:rPr>
        <w:sectPr>
          <w:type w:val="continuous"/>
          <w:pgSz w:w="12240" w:h="16498"/>
          <w:pgMar w:top="1145" w:right="1389" w:bottom="1134" w:left="1389" w:header="1043" w:footer="992" w:gutter="0"/>
          <w:pgNumType w:fmt="decimal"/>
          <w:cols w:space="425" w:num="1"/>
          <w:rtlGutter w:val="0"/>
          <w:docGrid w:type="lines" w:linePitch="312" w:charSpace="0"/>
        </w:sectPr>
      </w:pPr>
    </w:p>
    <w:p>
      <w:pPr>
        <w:pStyle w:val="5"/>
        <w:pageBreakBefore w:val="0"/>
        <w:widowControl w:val="0"/>
        <w:kinsoku/>
        <w:wordWrap/>
        <w:overflowPunct/>
        <w:topLinePunct w:val="0"/>
        <w:autoSpaceDE/>
        <w:autoSpaceDN/>
        <w:bidi w:val="0"/>
        <w:adjustRightInd/>
        <w:snapToGrid w:val="0"/>
        <w:spacing w:line="460" w:lineRule="atLeast"/>
        <w:textAlignment w:val="auto"/>
      </w:pPr>
      <w:r>
        <w:rPr>
          <w:rFonts w:hint="eastAsia"/>
        </w:rPr>
        <w:t>（三）完善残疾人就业保障政策</w:t>
      </w:r>
      <w:r>
        <w:t>,</w:t>
      </w:r>
      <w:r>
        <w:rPr>
          <w:rFonts w:hint="eastAsia"/>
        </w:rPr>
        <w:t>扶持残疾人多形式就业。</w:t>
      </w:r>
    </w:p>
    <w:p>
      <w:pPr>
        <w:pStyle w:val="42"/>
        <w:keepNext w:val="0"/>
        <w:keepLines w:val="0"/>
        <w:pageBreakBefore w:val="0"/>
        <w:widowControl w:val="0"/>
        <w:kinsoku/>
        <w:wordWrap/>
        <w:overflowPunct/>
        <w:topLinePunct w:val="0"/>
        <w:autoSpaceDE/>
        <w:autoSpaceDN/>
        <w:bidi w:val="0"/>
        <w:adjustRightInd/>
        <w:snapToGrid w:val="0"/>
        <w:spacing w:after="0" w:line="440" w:lineRule="atLeast"/>
        <w:ind w:firstLine="480" w:firstLineChars="200"/>
        <w:jc w:val="both"/>
        <w:textAlignment w:val="auto"/>
        <w:outlineLvl w:val="9"/>
        <w:rPr>
          <w:rFonts w:ascii="仿宋_GB2312" w:hAnsi="仿宋" w:eastAsia="仿宋_GB2312" w:cs="仿宋"/>
          <w:sz w:val="24"/>
          <w:szCs w:val="24"/>
        </w:rPr>
      </w:pPr>
      <w:r>
        <w:rPr>
          <w:rFonts w:hint="eastAsia" w:ascii="仿宋_GB2312" w:hAnsi="仿宋" w:eastAsia="仿宋_GB2312" w:cs="仿宋"/>
          <w:sz w:val="24"/>
          <w:szCs w:val="24"/>
        </w:rPr>
        <w:t>推动残疾人就业法规政策有效落实。落实《残疾人就业条例》</w:t>
      </w:r>
      <w:r>
        <w:rPr>
          <w:rFonts w:hint="eastAsia" w:ascii="仿宋_GB2312" w:hAnsi="仿宋" w:eastAsia="仿宋_GB2312" w:cs="仿宋"/>
          <w:sz w:val="24"/>
          <w:szCs w:val="24"/>
          <w:lang w:eastAsia="zh-CN"/>
        </w:rPr>
        <w:t>。</w:t>
      </w:r>
      <w:r>
        <w:rPr>
          <w:rFonts w:hint="eastAsia" w:ascii="仿宋_GB2312" w:hAnsi="仿宋" w:eastAsia="仿宋_GB2312" w:cs="仿宋"/>
          <w:sz w:val="24"/>
          <w:szCs w:val="24"/>
        </w:rPr>
        <w:t>建立健全残疾人就业保护、支持和服务制度</w:t>
      </w:r>
      <w:r>
        <w:rPr>
          <w:rFonts w:ascii="仿宋_GB2312" w:hAnsi="仿宋" w:eastAsia="仿宋_GB2312" w:cs="仿宋"/>
          <w:sz w:val="24"/>
          <w:szCs w:val="24"/>
        </w:rPr>
        <w:t>,</w:t>
      </w:r>
      <w:r>
        <w:rPr>
          <w:rFonts w:hint="eastAsia" w:ascii="仿宋_GB2312" w:hAnsi="仿宋" w:eastAsia="仿宋_GB2312" w:cs="仿宋"/>
          <w:sz w:val="24"/>
          <w:szCs w:val="24"/>
        </w:rPr>
        <w:t>保障残疾人平等就业权。推动落实《机关、事业单位、国有企业带头安置残疾人就业办法》</w:t>
      </w:r>
      <w:r>
        <w:rPr>
          <w:rFonts w:ascii="仿宋_GB2312" w:hAnsi="仿宋" w:eastAsia="仿宋_GB2312" w:cs="仿宋"/>
          <w:sz w:val="24"/>
          <w:szCs w:val="24"/>
        </w:rPr>
        <w:t>,</w:t>
      </w:r>
      <w:r>
        <w:rPr>
          <w:rFonts w:hint="eastAsia" w:ascii="仿宋_GB2312" w:hAnsi="仿宋" w:eastAsia="仿宋_GB2312" w:cs="仿宋"/>
          <w:sz w:val="24"/>
          <w:szCs w:val="24"/>
        </w:rPr>
        <w:t>完善残疾人按比例就业制度</w:t>
      </w:r>
      <w:r>
        <w:rPr>
          <w:rFonts w:ascii="仿宋_GB2312" w:hAnsi="仿宋" w:eastAsia="仿宋_GB2312" w:cs="仿宋"/>
          <w:sz w:val="24"/>
          <w:szCs w:val="24"/>
        </w:rPr>
        <w:t>,</w:t>
      </w:r>
      <w:r>
        <w:rPr>
          <w:rFonts w:hint="eastAsia" w:ascii="仿宋_GB2312" w:hAnsi="仿宋" w:eastAsia="仿宋_GB2312" w:cs="仿宋"/>
          <w:sz w:val="24"/>
          <w:szCs w:val="24"/>
        </w:rPr>
        <w:t>合理认定按比例安排残疾人就业形式</w:t>
      </w:r>
      <w:r>
        <w:rPr>
          <w:rFonts w:ascii="仿宋_GB2312" w:hAnsi="仿宋" w:eastAsia="仿宋_GB2312" w:cs="仿宋"/>
          <w:sz w:val="24"/>
          <w:szCs w:val="24"/>
        </w:rPr>
        <w:t>,</w:t>
      </w:r>
      <w:r>
        <w:rPr>
          <w:rFonts w:hint="eastAsia" w:ascii="仿宋_GB2312" w:hAnsi="仿宋" w:eastAsia="仿宋_GB2312" w:cs="仿宋"/>
          <w:sz w:val="24"/>
          <w:szCs w:val="24"/>
        </w:rPr>
        <w:t>实现残疾人按比例就业情况联网认证“跨省通办”。加强残疾人就业促进政策与社会保障政策有效衔接</w:t>
      </w:r>
      <w:r>
        <w:rPr>
          <w:rFonts w:ascii="仿宋_GB2312" w:hAnsi="仿宋" w:eastAsia="仿宋_GB2312" w:cs="仿宋"/>
          <w:sz w:val="24"/>
          <w:szCs w:val="24"/>
        </w:rPr>
        <w:t>,</w:t>
      </w:r>
      <w:r>
        <w:rPr>
          <w:rFonts w:hint="eastAsia" w:ascii="仿宋_GB2312" w:hAnsi="仿宋" w:eastAsia="仿宋_GB2312" w:cs="仿宋"/>
          <w:sz w:val="24"/>
          <w:szCs w:val="24"/>
        </w:rPr>
        <w:t>对通过政策支持脱贫或就业救助、自主创业等解困的低保对象</w:t>
      </w:r>
      <w:r>
        <w:rPr>
          <w:rFonts w:ascii="仿宋_GB2312" w:hAnsi="仿宋" w:eastAsia="仿宋_GB2312" w:cs="仿宋"/>
          <w:sz w:val="24"/>
          <w:szCs w:val="24"/>
        </w:rPr>
        <w:t>,</w:t>
      </w:r>
      <w:r>
        <w:rPr>
          <w:rFonts w:hint="eastAsia" w:ascii="仿宋_GB2312" w:hAnsi="仿宋" w:eastAsia="仿宋_GB2312" w:cs="仿宋"/>
          <w:sz w:val="24"/>
          <w:szCs w:val="24"/>
        </w:rPr>
        <w:t>在核算其家庭收入时扣减必要的就业成本</w:t>
      </w:r>
      <w:r>
        <w:rPr>
          <w:rFonts w:ascii="仿宋_GB2312" w:hAnsi="仿宋" w:eastAsia="仿宋_GB2312" w:cs="仿宋"/>
          <w:sz w:val="24"/>
          <w:szCs w:val="24"/>
        </w:rPr>
        <w:t>,</w:t>
      </w:r>
      <w:r>
        <w:rPr>
          <w:rFonts w:hint="eastAsia" w:ascii="仿宋_GB2312" w:hAnsi="仿宋" w:eastAsia="仿宋_GB2312" w:cs="仿宋"/>
          <w:sz w:val="24"/>
          <w:szCs w:val="24"/>
        </w:rPr>
        <w:t>并在其家庭成员人均收入超过当地低保标准后给予</w:t>
      </w:r>
      <w:r>
        <w:rPr>
          <w:rFonts w:ascii="仿宋_GB2312" w:hAnsi="仿宋" w:eastAsia="仿宋_GB2312" w:cs="仿宋"/>
          <w:sz w:val="24"/>
          <w:szCs w:val="24"/>
        </w:rPr>
        <w:t>6</w:t>
      </w:r>
      <w:r>
        <w:rPr>
          <w:rFonts w:hint="eastAsia" w:ascii="仿宋_GB2312" w:hAnsi="仿宋" w:eastAsia="仿宋_GB2312" w:cs="仿宋"/>
          <w:sz w:val="24"/>
          <w:szCs w:val="24"/>
        </w:rPr>
        <w:t>个月的渐退期。</w:t>
      </w:r>
      <w:r>
        <w:rPr>
          <w:rFonts w:ascii="仿宋_GB2312" w:hAnsi="仿宋" w:eastAsia="仿宋_GB2312" w:cs="仿宋"/>
          <w:sz w:val="24"/>
          <w:szCs w:val="24"/>
        </w:rPr>
        <w:t>(</w:t>
      </w:r>
      <w:r>
        <w:rPr>
          <w:rFonts w:hint="eastAsia" w:ascii="仿宋_GB2312" w:hAnsi="仿宋" w:eastAsia="仿宋_GB2312" w:cs="仿宋"/>
          <w:sz w:val="24"/>
          <w:szCs w:val="24"/>
          <w:lang w:eastAsia="zh-CN"/>
        </w:rPr>
        <w:t>牵头</w:t>
      </w:r>
      <w:r>
        <w:rPr>
          <w:rFonts w:hint="eastAsia" w:ascii="仿宋_GB2312" w:hAnsi="仿宋" w:eastAsia="仿宋_GB2312" w:cs="仿宋"/>
          <w:sz w:val="24"/>
          <w:szCs w:val="24"/>
        </w:rPr>
        <w:t>单位</w:t>
      </w:r>
      <w:r>
        <w:rPr>
          <w:rFonts w:hint="eastAsia" w:ascii="仿宋_GB2312" w:hAnsi="仿宋" w:eastAsia="仿宋_GB2312" w:cs="仿宋"/>
          <w:sz w:val="24"/>
          <w:szCs w:val="24"/>
          <w:lang w:eastAsia="zh-CN"/>
        </w:rPr>
        <w:t>：</w:t>
      </w:r>
      <w:r>
        <w:rPr>
          <w:rFonts w:hint="eastAsia" w:ascii="仿宋_GB2312" w:hAnsi="仿宋" w:eastAsia="仿宋_GB2312" w:cs="仿宋"/>
          <w:sz w:val="24"/>
          <w:szCs w:val="24"/>
        </w:rPr>
        <w:t>市委组织部、市民政局、人社局、市残联</w:t>
      </w:r>
      <w:r>
        <w:rPr>
          <w:rFonts w:ascii="仿宋_GB2312" w:hAnsi="仿宋" w:eastAsia="仿宋_GB2312" w:cs="仿宋"/>
          <w:sz w:val="24"/>
          <w:szCs w:val="24"/>
        </w:rPr>
        <w:t>)</w:t>
      </w:r>
    </w:p>
    <w:p>
      <w:pPr>
        <w:pStyle w:val="42"/>
        <w:keepNext w:val="0"/>
        <w:keepLines w:val="0"/>
        <w:pageBreakBefore w:val="0"/>
        <w:widowControl w:val="0"/>
        <w:kinsoku/>
        <w:wordWrap/>
        <w:overflowPunct/>
        <w:topLinePunct w:val="0"/>
        <w:autoSpaceDE/>
        <w:autoSpaceDN/>
        <w:bidi w:val="0"/>
        <w:adjustRightInd/>
        <w:snapToGrid w:val="0"/>
        <w:spacing w:after="0" w:line="440" w:lineRule="atLeast"/>
        <w:ind w:firstLine="480" w:firstLineChars="200"/>
        <w:jc w:val="both"/>
        <w:textAlignment w:val="auto"/>
        <w:outlineLvl w:val="9"/>
        <w:rPr>
          <w:rFonts w:hint="eastAsia" w:ascii="仿宋" w:hAnsi="仿宋" w:eastAsia="仿宋" w:cs="仿宋"/>
          <w:sz w:val="24"/>
          <w:szCs w:val="24"/>
          <w:lang w:eastAsia="zh-CN"/>
        </w:rPr>
      </w:pPr>
      <w:r>
        <w:rPr>
          <w:rFonts w:hint="eastAsia" w:ascii="仿宋_GB2312" w:hAnsi="仿宋" w:eastAsia="仿宋_GB2312" w:cs="仿宋"/>
          <w:sz w:val="24"/>
          <w:szCs w:val="24"/>
        </w:rPr>
        <w:t>丰富和拓展残疾人就业创业渠道。出台我市残疾人就业创业补贴奖励办法</w:t>
      </w:r>
      <w:r>
        <w:rPr>
          <w:rFonts w:ascii="仿宋_GB2312" w:hAnsi="仿宋" w:eastAsia="仿宋_GB2312" w:cs="仿宋"/>
          <w:sz w:val="24"/>
          <w:szCs w:val="24"/>
        </w:rPr>
        <w:t>,</w:t>
      </w:r>
      <w:r>
        <w:rPr>
          <w:rFonts w:hint="eastAsia" w:ascii="仿宋_GB2312" w:hAnsi="仿宋" w:eastAsia="仿宋_GB2312" w:cs="仿宋"/>
          <w:sz w:val="24"/>
          <w:szCs w:val="24"/>
        </w:rPr>
        <w:t>建立残疾人就业奖励制度。全面落实集中安排残疾人就业税收优惠、社会保险等补贴政策</w:t>
      </w:r>
      <w:r>
        <w:rPr>
          <w:rFonts w:ascii="仿宋_GB2312" w:hAnsi="仿宋" w:eastAsia="仿宋_GB2312" w:cs="仿宋"/>
          <w:sz w:val="24"/>
          <w:szCs w:val="24"/>
        </w:rPr>
        <w:t>,</w:t>
      </w:r>
      <w:r>
        <w:rPr>
          <w:rFonts w:hint="eastAsia" w:ascii="仿宋_GB2312" w:hAnsi="仿宋" w:eastAsia="仿宋_GB2312" w:cs="仿宋"/>
          <w:sz w:val="24"/>
          <w:szCs w:val="24"/>
        </w:rPr>
        <w:t>对于正式招录</w:t>
      </w:r>
      <w:r>
        <w:rPr>
          <w:rFonts w:hint="eastAsia" w:ascii="仿宋_GB2312" w:hAnsi="仿宋" w:eastAsia="仿宋_GB2312" w:cs="仿宋"/>
          <w:sz w:val="24"/>
          <w:szCs w:val="24"/>
          <w:lang w:eastAsia="zh-CN"/>
        </w:rPr>
        <w:t>（</w:t>
      </w:r>
      <w:r>
        <w:rPr>
          <w:rFonts w:hint="eastAsia" w:ascii="仿宋_GB2312" w:hAnsi="仿宋" w:eastAsia="仿宋_GB2312" w:cs="仿宋"/>
          <w:sz w:val="24"/>
          <w:szCs w:val="24"/>
        </w:rPr>
        <w:t>聘</w:t>
      </w:r>
      <w:r>
        <w:rPr>
          <w:rFonts w:hint="eastAsia" w:ascii="仿宋_GB2312" w:hAnsi="仿宋" w:eastAsia="仿宋_GB2312" w:cs="仿宋"/>
          <w:sz w:val="24"/>
          <w:szCs w:val="24"/>
          <w:lang w:eastAsia="zh-CN"/>
        </w:rPr>
        <w:t>）</w:t>
      </w:r>
      <w:r>
        <w:rPr>
          <w:rFonts w:hint="eastAsia" w:ascii="仿宋_GB2312" w:hAnsi="仿宋" w:eastAsia="仿宋_GB2312" w:cs="仿宋"/>
          <w:sz w:val="24"/>
          <w:szCs w:val="24"/>
        </w:rPr>
        <w:t>残疾人的用人单位按规定给予一次性就业补助等补贴。支持社会力量依法举办的非营利性残疾人集中就业机构创新发展</w:t>
      </w:r>
      <w:r>
        <w:rPr>
          <w:rFonts w:ascii="仿宋_GB2312" w:hAnsi="仿宋" w:eastAsia="仿宋_GB2312" w:cs="仿宋"/>
          <w:sz w:val="24"/>
          <w:szCs w:val="24"/>
        </w:rPr>
        <w:t>,</w:t>
      </w:r>
      <w:r>
        <w:rPr>
          <w:rFonts w:hint="eastAsia" w:ascii="仿宋_GB2312" w:hAnsi="仿宋" w:eastAsia="仿宋_GB2312" w:cs="仿宋"/>
          <w:sz w:val="24"/>
          <w:szCs w:val="24"/>
        </w:rPr>
        <w:t>鼓励更多企业通过集中安置吸纳残疾人就业。推动残疾人灵活就业和居家就业，扶持残疾人通过文化艺术创作、电子商务等形式实现就业创业。培育辅助性就业机构</w:t>
      </w:r>
      <w:r>
        <w:rPr>
          <w:rFonts w:ascii="仿宋_GB2312" w:hAnsi="仿宋" w:eastAsia="仿宋_GB2312" w:cs="仿宋"/>
          <w:sz w:val="24"/>
          <w:szCs w:val="24"/>
        </w:rPr>
        <w:t>,</w:t>
      </w:r>
      <w:r>
        <w:rPr>
          <w:rFonts w:hint="eastAsia" w:ascii="仿宋_GB2312" w:hAnsi="仿宋" w:eastAsia="仿宋_GB2312" w:cs="仿宋"/>
          <w:sz w:val="24"/>
          <w:szCs w:val="24"/>
        </w:rPr>
        <w:t>加大对辅助性就业机构的支持保障力度。统筹现有的公益性岗位</w:t>
      </w:r>
      <w:r>
        <w:rPr>
          <w:rFonts w:ascii="仿宋_GB2312" w:hAnsi="仿宋" w:eastAsia="仿宋_GB2312" w:cs="仿宋"/>
          <w:sz w:val="24"/>
          <w:szCs w:val="24"/>
        </w:rPr>
        <w:t>,</w:t>
      </w:r>
      <w:r>
        <w:rPr>
          <w:rFonts w:hint="eastAsia" w:ascii="仿宋_GB2312" w:hAnsi="仿宋" w:eastAsia="仿宋_GB2312" w:cs="仿宋"/>
          <w:sz w:val="24"/>
          <w:szCs w:val="24"/>
        </w:rPr>
        <w:t>安排更多的残疾人就近就便就业。扶持和规范盲人按摩行业健康发展。为有就业愿望的残疾妇女开辟就业渠道</w:t>
      </w:r>
      <w:r>
        <w:rPr>
          <w:rFonts w:ascii="仿宋_GB2312" w:hAnsi="仿宋" w:eastAsia="仿宋_GB2312" w:cs="仿宋"/>
          <w:sz w:val="24"/>
          <w:szCs w:val="24"/>
        </w:rPr>
        <w:t>,</w:t>
      </w:r>
      <w:r>
        <w:rPr>
          <w:rFonts w:hint="eastAsia" w:ascii="仿宋_GB2312" w:hAnsi="仿宋" w:eastAsia="仿宋_GB2312" w:cs="仿宋"/>
          <w:sz w:val="24"/>
          <w:szCs w:val="24"/>
        </w:rPr>
        <w:t>支持残疾妇女自主创业就业。扶持残疾人亲属就业创业</w:t>
      </w:r>
      <w:r>
        <w:rPr>
          <w:rFonts w:ascii="仿宋_GB2312" w:hAnsi="仿宋" w:eastAsia="仿宋_GB2312" w:cs="仿宋"/>
          <w:sz w:val="24"/>
          <w:szCs w:val="24"/>
        </w:rPr>
        <w:t>,</w:t>
      </w:r>
      <w:r>
        <w:rPr>
          <w:rFonts w:hint="eastAsia" w:ascii="仿宋_GB2312" w:hAnsi="仿宋" w:eastAsia="仿宋_GB2312" w:cs="仿宋"/>
          <w:sz w:val="24"/>
          <w:szCs w:val="24"/>
        </w:rPr>
        <w:t>实现零就业残疾人家庭至少有一人就业。</w:t>
      </w:r>
      <w:r>
        <w:rPr>
          <w:rFonts w:hint="eastAsia" w:ascii="仿宋_GB2312" w:hAnsi="仿宋" w:eastAsia="仿宋_GB2312" w:cs="仿宋"/>
          <w:sz w:val="24"/>
          <w:szCs w:val="24"/>
          <w:lang w:eastAsia="zh-CN"/>
        </w:rPr>
        <w:t>（</w:t>
      </w:r>
      <w:r>
        <w:rPr>
          <w:rFonts w:hint="eastAsia" w:ascii="仿宋_GB2312" w:hAnsi="仿宋" w:eastAsia="仿宋_GB2312" w:cs="仿宋"/>
          <w:sz w:val="24"/>
          <w:szCs w:val="24"/>
        </w:rPr>
        <w:t>牵头单位</w:t>
      </w:r>
      <w:r>
        <w:rPr>
          <w:rFonts w:hint="eastAsia" w:ascii="仿宋_GB2312" w:hAnsi="仿宋" w:eastAsia="仿宋_GB2312" w:cs="仿宋"/>
          <w:sz w:val="24"/>
          <w:szCs w:val="24"/>
          <w:lang w:eastAsia="zh-CN"/>
        </w:rPr>
        <w:t>：</w:t>
      </w:r>
      <w:r>
        <w:rPr>
          <w:rFonts w:hint="eastAsia" w:ascii="仿宋_GB2312" w:hAnsi="仿宋" w:eastAsia="仿宋_GB2312" w:cs="仿宋"/>
          <w:sz w:val="24"/>
          <w:szCs w:val="24"/>
        </w:rPr>
        <w:t>市人社局</w:t>
      </w:r>
      <w:r>
        <w:rPr>
          <w:rFonts w:ascii="仿宋_GB2312" w:hAnsi="仿宋" w:eastAsia="仿宋_GB2312" w:cs="仿宋"/>
          <w:sz w:val="24"/>
          <w:szCs w:val="24"/>
        </w:rPr>
        <w:t>;</w:t>
      </w:r>
      <w:r>
        <w:rPr>
          <w:rFonts w:hint="eastAsia" w:ascii="仿宋_GB2312" w:hAnsi="仿宋" w:eastAsia="仿宋_GB2312" w:cs="仿宋"/>
          <w:sz w:val="24"/>
          <w:szCs w:val="24"/>
        </w:rPr>
        <w:t>配合单位：市民政局、财政局、</w:t>
      </w:r>
      <w:r>
        <w:rPr>
          <w:rFonts w:hint="eastAsia" w:ascii="仿宋_GB2312" w:hAnsi="仿宋" w:eastAsia="仿宋_GB2312" w:cs="仿宋"/>
          <w:sz w:val="24"/>
          <w:szCs w:val="24"/>
          <w:lang w:eastAsia="zh-CN"/>
        </w:rPr>
        <w:t>文化和旅游</w:t>
      </w:r>
      <w:r>
        <w:rPr>
          <w:rFonts w:hint="eastAsia" w:ascii="仿宋_GB2312" w:hAnsi="仿宋" w:eastAsia="仿宋_GB2312" w:cs="仿宋"/>
          <w:sz w:val="24"/>
          <w:szCs w:val="24"/>
        </w:rPr>
        <w:t>局、税务局、市妇联、市残联</w:t>
      </w:r>
      <w:r>
        <w:rPr>
          <w:rFonts w:hint="eastAsia" w:ascii="仿宋_GB2312" w:hAnsi="仿宋" w:eastAsia="仿宋_GB2312" w:cs="仿宋"/>
          <w:sz w:val="24"/>
          <w:szCs w:val="24"/>
          <w:lang w:eastAsia="zh-CN"/>
        </w:rPr>
        <w:t>）</w:t>
      </w:r>
    </w:p>
    <w:p>
      <w:pPr>
        <w:keepNext w:val="0"/>
        <w:keepLines w:val="0"/>
        <w:pageBreakBefore w:val="0"/>
        <w:widowControl w:val="0"/>
        <w:kinsoku/>
        <w:wordWrap/>
        <w:overflowPunct/>
        <w:topLinePunct w:val="0"/>
        <w:autoSpaceDE/>
        <w:autoSpaceDN/>
        <w:bidi w:val="0"/>
        <w:adjustRightInd/>
        <w:snapToGrid w:val="0"/>
        <w:spacing w:line="460" w:lineRule="atLeast"/>
        <w:jc w:val="center"/>
        <w:textAlignment w:val="auto"/>
        <w:outlineLvl w:val="9"/>
        <w:rPr>
          <w:rFonts w:hint="eastAsia" w:ascii="黑体" w:hAnsi="黑体" w:eastAsia="黑体" w:cs="黑体"/>
          <w:sz w:val="24"/>
          <w:szCs w:val="24"/>
        </w:rPr>
        <w:sectPr>
          <w:type w:val="continuous"/>
          <w:pgSz w:w="12240" w:h="16498"/>
          <w:pgMar w:top="1145" w:right="1389" w:bottom="1134" w:left="1389" w:header="1043" w:footer="992" w:gutter="0"/>
          <w:pgNumType w:fmt="decimal"/>
          <w:cols w:equalWidth="0" w:num="2">
            <w:col w:w="4518" w:space="425"/>
            <w:col w:w="4518"/>
          </w:cols>
          <w:rtlGutter w:val="0"/>
          <w:docGrid w:type="lines" w:linePitch="312" w:charSpace="0"/>
        </w:sectPr>
      </w:pPr>
    </w:p>
    <w:tbl>
      <w:tblPr>
        <w:tblStyle w:val="18"/>
        <w:tblpPr w:leftFromText="180" w:rightFromText="180" w:vertAnchor="page" w:horzAnchor="page" w:tblpX="1439" w:tblpY="6106"/>
        <w:tblOverlap w:val="never"/>
        <w:tblW w:w="932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3" w:hRule="exact"/>
        </w:trPr>
        <w:tc>
          <w:tcPr>
            <w:tcW w:w="9320" w:type="dxa"/>
            <w:tcBorders>
              <w:top w:val="single" w:color="000000" w:sz="2" w:space="0"/>
              <w:left w:val="single" w:color="000000" w:sz="4" w:space="0"/>
              <w:bottom w:val="single" w:color="000000" w:sz="2"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500" w:lineRule="exact"/>
              <w:jc w:val="center"/>
              <w:textAlignment w:val="auto"/>
              <w:outlineLvl w:val="9"/>
              <w:rPr>
                <w:rFonts w:ascii="宋体" w:hAnsi="宋体" w:cs="宋体"/>
                <w:sz w:val="30"/>
                <w:szCs w:val="30"/>
              </w:rPr>
            </w:pPr>
            <w:r>
              <w:rPr>
                <w:rFonts w:hint="eastAsia" w:ascii="黑体" w:hAnsi="黑体" w:eastAsia="黑体" w:cs="黑体"/>
                <w:sz w:val="28"/>
                <w:szCs w:val="28"/>
              </w:rPr>
              <w:t>专栏</w:t>
            </w:r>
            <w:r>
              <w:rPr>
                <w:rFonts w:ascii="黑体" w:hAnsi="黑体" w:eastAsia="黑体" w:cs="黑体"/>
                <w:sz w:val="28"/>
                <w:szCs w:val="28"/>
              </w:rPr>
              <w:t>3</w:t>
            </w:r>
            <w:r>
              <w:rPr>
                <w:rFonts w:hint="eastAsia" w:ascii="黑体" w:hAnsi="黑体" w:eastAsia="黑体" w:cs="黑体"/>
                <w:sz w:val="28"/>
                <w:szCs w:val="28"/>
              </w:rPr>
              <w:t xml:space="preserve">  残疾人就业补贴奖励重点项目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40" w:hRule="atLeast"/>
        </w:trPr>
        <w:tc>
          <w:tcPr>
            <w:tcW w:w="9320" w:type="dxa"/>
            <w:tcBorders>
              <w:top w:val="single" w:color="000000" w:sz="2" w:space="0"/>
              <w:left w:val="single" w:color="000000" w:sz="4" w:space="0"/>
              <w:bottom w:val="single" w:color="000000" w:sz="2"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val="0"/>
              <w:spacing w:line="440" w:lineRule="exact"/>
              <w:ind w:firstLine="482"/>
              <w:textAlignment w:val="auto"/>
              <w:outlineLvl w:val="9"/>
              <w:rPr>
                <w:rFonts w:ascii="仿宋" w:hAnsi="仿宋" w:eastAsia="仿宋" w:cs="仿宋"/>
                <w:spacing w:val="0"/>
                <w:sz w:val="24"/>
                <w:szCs w:val="24"/>
              </w:rPr>
            </w:pPr>
            <w:r>
              <w:rPr>
                <w:rFonts w:ascii="仿宋" w:hAnsi="仿宋" w:eastAsia="仿宋" w:cs="仿宋"/>
                <w:spacing w:val="0"/>
                <w:sz w:val="24"/>
                <w:szCs w:val="24"/>
              </w:rPr>
              <w:t>1.</w:t>
            </w:r>
            <w:r>
              <w:rPr>
                <w:rFonts w:hint="eastAsia" w:ascii="仿宋" w:hAnsi="仿宋" w:eastAsia="仿宋" w:cs="仿宋"/>
                <w:spacing w:val="0"/>
                <w:sz w:val="24"/>
                <w:szCs w:val="24"/>
              </w:rPr>
              <w:t>残疾人自主就业创业补贴。对符合自主创业、灵活就业条件的残疾人给予相关补贴，对求职创业的应届高校、中职院校残疾人毕业生就业给予补贴。鼓励残疾大学生自主就业创业。</w:t>
            </w:r>
          </w:p>
          <w:p>
            <w:pPr>
              <w:keepNext w:val="0"/>
              <w:keepLines w:val="0"/>
              <w:pageBreakBefore w:val="0"/>
              <w:widowControl w:val="0"/>
              <w:kinsoku/>
              <w:wordWrap/>
              <w:overflowPunct/>
              <w:topLinePunct w:val="0"/>
              <w:autoSpaceDE/>
              <w:autoSpaceDN/>
              <w:bidi w:val="0"/>
              <w:adjustRightInd/>
              <w:snapToGrid w:val="0"/>
              <w:spacing w:line="440" w:lineRule="exact"/>
              <w:ind w:firstLine="482"/>
              <w:textAlignment w:val="auto"/>
              <w:outlineLvl w:val="9"/>
              <w:rPr>
                <w:rFonts w:ascii="仿宋" w:hAnsi="仿宋" w:eastAsia="仿宋" w:cs="仿宋"/>
                <w:spacing w:val="0"/>
                <w:sz w:val="24"/>
                <w:szCs w:val="24"/>
              </w:rPr>
            </w:pPr>
            <w:r>
              <w:rPr>
                <w:rFonts w:ascii="仿宋" w:hAnsi="仿宋" w:eastAsia="仿宋" w:cs="仿宋"/>
                <w:spacing w:val="0"/>
                <w:sz w:val="24"/>
                <w:szCs w:val="24"/>
              </w:rPr>
              <w:t>2.</w:t>
            </w:r>
            <w:r>
              <w:rPr>
                <w:rFonts w:hint="eastAsia" w:ascii="仿宋" w:hAnsi="仿宋" w:eastAsia="仿宋" w:cs="仿宋"/>
                <w:spacing w:val="0"/>
                <w:sz w:val="24"/>
                <w:szCs w:val="24"/>
              </w:rPr>
              <w:t>残疾学生见习补贴。按规定对参加就业见习的高校、中职院校残疾人毕业生以及</w:t>
            </w:r>
            <w:r>
              <w:rPr>
                <w:rFonts w:ascii="仿宋" w:hAnsi="仿宋" w:eastAsia="仿宋" w:cs="仿宋"/>
                <w:spacing w:val="0"/>
                <w:sz w:val="24"/>
                <w:szCs w:val="24"/>
              </w:rPr>
              <w:t>16</w:t>
            </w:r>
            <w:r>
              <w:rPr>
                <w:rFonts w:hint="eastAsia" w:ascii="仿宋" w:hAnsi="仿宋" w:eastAsia="仿宋" w:cs="仿宋"/>
                <w:spacing w:val="0"/>
                <w:sz w:val="24"/>
                <w:szCs w:val="24"/>
              </w:rPr>
              <w:t>—</w:t>
            </w:r>
            <w:r>
              <w:rPr>
                <w:rFonts w:ascii="仿宋" w:hAnsi="仿宋" w:eastAsia="仿宋" w:cs="仿宋"/>
                <w:spacing w:val="0"/>
                <w:sz w:val="24"/>
                <w:szCs w:val="24"/>
              </w:rPr>
              <w:t>24</w:t>
            </w:r>
            <w:r>
              <w:rPr>
                <w:rFonts w:hint="eastAsia" w:ascii="仿宋" w:hAnsi="仿宋" w:eastAsia="仿宋" w:cs="仿宋"/>
                <w:spacing w:val="0"/>
                <w:sz w:val="24"/>
                <w:szCs w:val="24"/>
              </w:rPr>
              <w:t>周岁城乡失业残疾青年在见习期间给予一定标准的补贴。</w:t>
            </w:r>
          </w:p>
          <w:p>
            <w:pPr>
              <w:keepNext w:val="0"/>
              <w:keepLines w:val="0"/>
              <w:pageBreakBefore w:val="0"/>
              <w:widowControl w:val="0"/>
              <w:kinsoku/>
              <w:wordWrap/>
              <w:overflowPunct/>
              <w:topLinePunct w:val="0"/>
              <w:autoSpaceDE/>
              <w:autoSpaceDN/>
              <w:bidi w:val="0"/>
              <w:adjustRightInd/>
              <w:snapToGrid w:val="0"/>
              <w:spacing w:line="440" w:lineRule="exact"/>
              <w:ind w:firstLine="482"/>
              <w:textAlignment w:val="auto"/>
              <w:outlineLvl w:val="9"/>
              <w:rPr>
                <w:rFonts w:ascii="仿宋" w:hAnsi="仿宋" w:eastAsia="仿宋" w:cs="仿宋"/>
                <w:spacing w:val="0"/>
                <w:sz w:val="24"/>
                <w:szCs w:val="24"/>
              </w:rPr>
            </w:pPr>
            <w:r>
              <w:rPr>
                <w:rFonts w:ascii="仿宋" w:hAnsi="仿宋" w:eastAsia="仿宋" w:cs="仿宋"/>
                <w:spacing w:val="0"/>
                <w:sz w:val="24"/>
                <w:szCs w:val="24"/>
              </w:rPr>
              <w:t>3.</w:t>
            </w:r>
            <w:r>
              <w:rPr>
                <w:rFonts w:hint="eastAsia" w:ascii="仿宋" w:hAnsi="仿宋" w:eastAsia="仿宋" w:cs="仿宋"/>
                <w:spacing w:val="0"/>
                <w:sz w:val="24"/>
                <w:szCs w:val="24"/>
              </w:rPr>
              <w:t>招录</w:t>
            </w:r>
            <w:r>
              <w:rPr>
                <w:rFonts w:ascii="仿宋" w:hAnsi="仿宋" w:eastAsia="仿宋" w:cs="仿宋"/>
                <w:spacing w:val="0"/>
                <w:sz w:val="24"/>
                <w:szCs w:val="24"/>
              </w:rPr>
              <w:t>(</w:t>
            </w:r>
            <w:r>
              <w:rPr>
                <w:rFonts w:hint="eastAsia" w:ascii="仿宋" w:hAnsi="仿宋" w:eastAsia="仿宋" w:cs="仿宋"/>
                <w:spacing w:val="0"/>
                <w:sz w:val="24"/>
                <w:szCs w:val="24"/>
              </w:rPr>
              <w:t>聘</w:t>
            </w:r>
            <w:r>
              <w:rPr>
                <w:rFonts w:ascii="仿宋" w:hAnsi="仿宋" w:eastAsia="仿宋" w:cs="仿宋"/>
                <w:spacing w:val="0"/>
                <w:sz w:val="24"/>
                <w:szCs w:val="24"/>
              </w:rPr>
              <w:t>)</w:t>
            </w:r>
            <w:r>
              <w:rPr>
                <w:rFonts w:hint="eastAsia" w:ascii="仿宋" w:hAnsi="仿宋" w:eastAsia="仿宋" w:cs="仿宋"/>
                <w:spacing w:val="0"/>
                <w:sz w:val="24"/>
                <w:szCs w:val="24"/>
              </w:rPr>
              <w:t>残疾人的用人单位补贴。对正式招录</w:t>
            </w:r>
            <w:r>
              <w:rPr>
                <w:rFonts w:ascii="仿宋" w:hAnsi="仿宋" w:eastAsia="仿宋" w:cs="仿宋"/>
                <w:spacing w:val="0"/>
                <w:sz w:val="24"/>
                <w:szCs w:val="24"/>
              </w:rPr>
              <w:t>(</w:t>
            </w:r>
            <w:r>
              <w:rPr>
                <w:rFonts w:hint="eastAsia" w:ascii="仿宋" w:hAnsi="仿宋" w:eastAsia="仿宋" w:cs="仿宋"/>
                <w:spacing w:val="0"/>
                <w:sz w:val="24"/>
                <w:szCs w:val="24"/>
              </w:rPr>
              <w:t>聘</w:t>
            </w:r>
            <w:r>
              <w:rPr>
                <w:rFonts w:ascii="仿宋" w:hAnsi="仿宋" w:eastAsia="仿宋" w:cs="仿宋"/>
                <w:spacing w:val="0"/>
                <w:sz w:val="24"/>
                <w:szCs w:val="24"/>
              </w:rPr>
              <w:t>)</w:t>
            </w:r>
            <w:r>
              <w:rPr>
                <w:rFonts w:hint="eastAsia" w:ascii="仿宋" w:hAnsi="仿宋" w:eastAsia="仿宋" w:cs="仿宋"/>
                <w:spacing w:val="0"/>
                <w:sz w:val="24"/>
                <w:szCs w:val="24"/>
              </w:rPr>
              <w:t>残疾人的用人单位</w:t>
            </w:r>
            <w:r>
              <w:rPr>
                <w:rFonts w:ascii="仿宋" w:hAnsi="仿宋" w:eastAsia="仿宋" w:cs="仿宋"/>
                <w:spacing w:val="0"/>
                <w:sz w:val="24"/>
                <w:szCs w:val="24"/>
              </w:rPr>
              <w:t xml:space="preserve">, </w:t>
            </w:r>
            <w:r>
              <w:rPr>
                <w:rFonts w:hint="eastAsia" w:ascii="仿宋" w:hAnsi="仿宋" w:eastAsia="仿宋" w:cs="仿宋"/>
                <w:spacing w:val="0"/>
                <w:sz w:val="24"/>
                <w:szCs w:val="24"/>
              </w:rPr>
              <w:t>按规定给予一次性吸纳就业等各类补助、补贴</w:t>
            </w:r>
            <w:r>
              <w:rPr>
                <w:rFonts w:ascii="仿宋" w:hAnsi="仿宋" w:eastAsia="仿宋" w:cs="仿宋"/>
                <w:spacing w:val="0"/>
                <w:sz w:val="24"/>
                <w:szCs w:val="24"/>
              </w:rPr>
              <w:t>;</w:t>
            </w:r>
            <w:r>
              <w:rPr>
                <w:rFonts w:hint="eastAsia" w:ascii="仿宋" w:hAnsi="仿宋" w:eastAsia="仿宋" w:cs="仿宋"/>
                <w:spacing w:val="0"/>
                <w:sz w:val="24"/>
                <w:szCs w:val="24"/>
              </w:rPr>
              <w:t>对安排残疾人见习的用人单位按规定给予见习补贴。</w:t>
            </w:r>
          </w:p>
          <w:p>
            <w:pPr>
              <w:keepNext w:val="0"/>
              <w:keepLines w:val="0"/>
              <w:pageBreakBefore w:val="0"/>
              <w:widowControl w:val="0"/>
              <w:kinsoku/>
              <w:wordWrap/>
              <w:overflowPunct/>
              <w:topLinePunct w:val="0"/>
              <w:autoSpaceDE/>
              <w:autoSpaceDN/>
              <w:bidi w:val="0"/>
              <w:adjustRightInd/>
              <w:snapToGrid w:val="0"/>
              <w:spacing w:line="440" w:lineRule="exact"/>
              <w:ind w:firstLine="482"/>
              <w:textAlignment w:val="auto"/>
              <w:outlineLvl w:val="9"/>
              <w:rPr>
                <w:rFonts w:ascii="仿宋" w:hAnsi="仿宋" w:eastAsia="仿宋" w:cs="仿宋"/>
                <w:spacing w:val="0"/>
                <w:sz w:val="24"/>
                <w:szCs w:val="24"/>
              </w:rPr>
            </w:pPr>
            <w:r>
              <w:rPr>
                <w:rFonts w:ascii="仿宋" w:hAnsi="仿宋" w:eastAsia="仿宋" w:cs="仿宋"/>
                <w:spacing w:val="0"/>
                <w:sz w:val="24"/>
                <w:szCs w:val="24"/>
              </w:rPr>
              <w:t>4.</w:t>
            </w:r>
            <w:r>
              <w:rPr>
                <w:rFonts w:hint="eastAsia" w:ascii="仿宋" w:hAnsi="仿宋" w:eastAsia="仿宋" w:cs="仿宋"/>
                <w:spacing w:val="0"/>
                <w:sz w:val="24"/>
                <w:szCs w:val="24"/>
              </w:rPr>
              <w:t>辅助性就业机构补贴。对残疾人辅助性就业机构按照有关规定</w:t>
            </w:r>
            <w:r>
              <w:rPr>
                <w:rFonts w:ascii="仿宋" w:hAnsi="仿宋" w:eastAsia="仿宋" w:cs="仿宋"/>
                <w:spacing w:val="0"/>
                <w:sz w:val="24"/>
                <w:szCs w:val="24"/>
              </w:rPr>
              <w:t>,</w:t>
            </w:r>
            <w:r>
              <w:rPr>
                <w:rFonts w:hint="eastAsia" w:ascii="仿宋" w:hAnsi="仿宋" w:eastAsia="仿宋" w:cs="仿宋"/>
                <w:spacing w:val="0"/>
                <w:sz w:val="24"/>
                <w:szCs w:val="24"/>
              </w:rPr>
              <w:t>给予一次性建设、场地租金、机构运行、无障碍环境改造、生产设备和辅助器具购置等补贴。</w:t>
            </w:r>
          </w:p>
          <w:p>
            <w:pPr>
              <w:keepNext w:val="0"/>
              <w:keepLines w:val="0"/>
              <w:pageBreakBefore w:val="0"/>
              <w:widowControl w:val="0"/>
              <w:kinsoku/>
              <w:wordWrap/>
              <w:overflowPunct/>
              <w:topLinePunct w:val="0"/>
              <w:autoSpaceDE/>
              <w:autoSpaceDN/>
              <w:bidi w:val="0"/>
              <w:adjustRightInd/>
              <w:snapToGrid w:val="0"/>
              <w:spacing w:line="440" w:lineRule="exact"/>
              <w:ind w:firstLine="482"/>
              <w:textAlignment w:val="auto"/>
              <w:outlineLvl w:val="9"/>
              <w:rPr>
                <w:rFonts w:ascii="仿宋" w:hAnsi="仿宋" w:eastAsia="仿宋" w:cs="仿宋"/>
                <w:spacing w:val="0"/>
                <w:sz w:val="24"/>
                <w:szCs w:val="24"/>
              </w:rPr>
            </w:pPr>
            <w:r>
              <w:rPr>
                <w:rFonts w:ascii="仿宋" w:hAnsi="仿宋" w:eastAsia="仿宋" w:cs="仿宋"/>
                <w:spacing w:val="0"/>
                <w:sz w:val="24"/>
                <w:szCs w:val="24"/>
              </w:rPr>
              <w:t>5.</w:t>
            </w:r>
            <w:r>
              <w:rPr>
                <w:rFonts w:hint="eastAsia" w:ascii="仿宋" w:hAnsi="仿宋" w:eastAsia="仿宋" w:cs="仿宋"/>
                <w:spacing w:val="0"/>
                <w:sz w:val="24"/>
                <w:szCs w:val="24"/>
              </w:rPr>
              <w:t>通过公益性岗位安排残疾人就业的用人单位补贴。对通过公益性岗位安排残疾人就业并缴纳社会保险费的用人单位</w:t>
            </w:r>
            <w:r>
              <w:rPr>
                <w:rFonts w:ascii="仿宋" w:hAnsi="仿宋" w:eastAsia="仿宋" w:cs="仿宋"/>
                <w:spacing w:val="0"/>
                <w:sz w:val="24"/>
                <w:szCs w:val="24"/>
              </w:rPr>
              <w:t>,</w:t>
            </w:r>
            <w:r>
              <w:rPr>
                <w:rFonts w:hint="eastAsia" w:ascii="仿宋" w:hAnsi="仿宋" w:eastAsia="仿宋" w:cs="仿宋"/>
                <w:spacing w:val="0"/>
                <w:sz w:val="24"/>
                <w:szCs w:val="24"/>
              </w:rPr>
              <w:t>按规定给予社会保险和公益性岗位补贴。</w:t>
            </w:r>
          </w:p>
          <w:p>
            <w:pPr>
              <w:keepNext w:val="0"/>
              <w:keepLines w:val="0"/>
              <w:pageBreakBefore w:val="0"/>
              <w:widowControl w:val="0"/>
              <w:kinsoku/>
              <w:wordWrap/>
              <w:overflowPunct/>
              <w:topLinePunct w:val="0"/>
              <w:autoSpaceDE/>
              <w:autoSpaceDN/>
              <w:bidi w:val="0"/>
              <w:adjustRightInd/>
              <w:snapToGrid w:val="0"/>
              <w:spacing w:line="440" w:lineRule="exact"/>
              <w:ind w:firstLine="482"/>
              <w:textAlignment w:val="auto"/>
              <w:outlineLvl w:val="9"/>
              <w:rPr>
                <w:rFonts w:ascii="宋体" w:hAnsi="宋体" w:cs="宋体"/>
                <w:sz w:val="24"/>
                <w:szCs w:val="24"/>
              </w:rPr>
            </w:pPr>
            <w:r>
              <w:rPr>
                <w:rFonts w:ascii="仿宋" w:hAnsi="仿宋" w:eastAsia="仿宋" w:cs="仿宋"/>
                <w:spacing w:val="0"/>
                <w:sz w:val="24"/>
                <w:szCs w:val="24"/>
              </w:rPr>
              <w:t>6.</w:t>
            </w:r>
            <w:r>
              <w:rPr>
                <w:rFonts w:hint="eastAsia" w:ascii="仿宋" w:hAnsi="仿宋" w:eastAsia="仿宋" w:cs="仿宋"/>
                <w:spacing w:val="0"/>
                <w:sz w:val="24"/>
                <w:szCs w:val="24"/>
              </w:rPr>
              <w:t>残疾人就业服务补贴。充分发挥残疾人就业服务中心、公共就业服务机构劳务派遣公司、经营性人力资源服务机构在残疾人就业供需对接方面的作用。鼓励经营性市场主体开展公益性就业服务</w:t>
            </w:r>
            <w:r>
              <w:rPr>
                <w:rFonts w:ascii="仿宋" w:hAnsi="仿宋" w:eastAsia="仿宋" w:cs="仿宋"/>
                <w:spacing w:val="0"/>
                <w:sz w:val="24"/>
                <w:szCs w:val="24"/>
              </w:rPr>
              <w:t>,</w:t>
            </w:r>
            <w:r>
              <w:rPr>
                <w:rFonts w:hint="eastAsia" w:ascii="仿宋" w:hAnsi="仿宋" w:eastAsia="仿宋" w:cs="仿宋"/>
                <w:spacing w:val="0"/>
                <w:sz w:val="24"/>
                <w:szCs w:val="24"/>
              </w:rPr>
              <w:t>推荐残疾人稳定就业的</w:t>
            </w:r>
            <w:r>
              <w:rPr>
                <w:rFonts w:ascii="仿宋" w:hAnsi="仿宋" w:eastAsia="仿宋" w:cs="仿宋"/>
                <w:spacing w:val="0"/>
                <w:sz w:val="24"/>
                <w:szCs w:val="24"/>
              </w:rPr>
              <w:t>,</w:t>
            </w:r>
            <w:r>
              <w:rPr>
                <w:rFonts w:hint="eastAsia" w:ascii="仿宋" w:hAnsi="仿宋" w:eastAsia="仿宋" w:cs="仿宋"/>
                <w:spacing w:val="0"/>
                <w:sz w:val="24"/>
                <w:szCs w:val="24"/>
              </w:rPr>
              <w:t>按其就业服务后实际就业人数向当地人社部门申请职业介绍补贴。</w:t>
            </w:r>
          </w:p>
        </w:tc>
      </w:tr>
    </w:tbl>
    <w:p>
      <w:pPr>
        <w:pStyle w:val="42"/>
        <w:keepNext w:val="0"/>
        <w:keepLines w:val="0"/>
        <w:pageBreakBefore w:val="0"/>
        <w:widowControl w:val="0"/>
        <w:kinsoku/>
        <w:wordWrap/>
        <w:overflowPunct/>
        <w:topLinePunct w:val="0"/>
        <w:autoSpaceDE/>
        <w:autoSpaceDN/>
        <w:bidi w:val="0"/>
        <w:adjustRightInd/>
        <w:snapToGrid w:val="0"/>
        <w:spacing w:after="0" w:line="500" w:lineRule="exact"/>
        <w:ind w:firstLine="480" w:firstLineChars="200"/>
        <w:jc w:val="both"/>
        <w:textAlignment w:val="auto"/>
        <w:outlineLvl w:val="9"/>
        <w:rPr>
          <w:rFonts w:hint="eastAsia" w:ascii="仿宋_GB2312" w:hAnsi="仿宋" w:eastAsia="仿宋_GB2312" w:cs="仿宋"/>
          <w:sz w:val="24"/>
          <w:szCs w:val="24"/>
        </w:rPr>
        <w:sectPr>
          <w:type w:val="continuous"/>
          <w:pgSz w:w="12240" w:h="16498"/>
          <w:pgMar w:top="1145" w:right="1389" w:bottom="1134" w:left="1389" w:header="1043" w:footer="992" w:gutter="0"/>
          <w:pgNumType w:fmt="decimal"/>
          <w:cols w:space="425" w:num="1"/>
          <w:rtlGutter w:val="0"/>
          <w:docGrid w:type="lines" w:linePitch="312" w:charSpace="0"/>
        </w:sectPr>
      </w:pPr>
    </w:p>
    <w:p>
      <w:pPr>
        <w:pStyle w:val="42"/>
        <w:keepNext w:val="0"/>
        <w:keepLines w:val="0"/>
        <w:pageBreakBefore w:val="0"/>
        <w:widowControl w:val="0"/>
        <w:kinsoku/>
        <w:wordWrap/>
        <w:overflowPunct/>
        <w:topLinePunct w:val="0"/>
        <w:autoSpaceDE/>
        <w:autoSpaceDN/>
        <w:bidi w:val="0"/>
        <w:adjustRightInd/>
        <w:snapToGrid w:val="0"/>
        <w:spacing w:after="0" w:line="440" w:lineRule="exact"/>
        <w:ind w:firstLine="480" w:firstLineChars="200"/>
        <w:jc w:val="both"/>
        <w:textAlignment w:val="auto"/>
        <w:outlineLvl w:val="9"/>
        <w:rPr>
          <w:rFonts w:ascii="仿宋_GB2312" w:hAnsi="仿宋" w:eastAsia="仿宋_GB2312" w:cs="仿宋"/>
          <w:sz w:val="24"/>
          <w:szCs w:val="24"/>
        </w:rPr>
      </w:pPr>
      <w:r>
        <w:rPr>
          <w:rFonts w:hint="eastAsia" w:ascii="仿宋_GB2312" w:hAnsi="仿宋" w:eastAsia="仿宋_GB2312" w:cs="仿宋"/>
          <w:sz w:val="24"/>
          <w:szCs w:val="24"/>
        </w:rPr>
        <w:t>提升残疾人职业技能。落实《残疾人职业技能提升计划</w:t>
      </w:r>
      <w:r>
        <w:rPr>
          <w:rFonts w:ascii="仿宋_GB2312" w:hAnsi="仿宋" w:eastAsia="仿宋_GB2312" w:cs="仿宋"/>
          <w:sz w:val="24"/>
          <w:szCs w:val="24"/>
        </w:rPr>
        <w:t>(2021</w:t>
      </w:r>
      <w:r>
        <w:rPr>
          <w:rFonts w:hint="eastAsia" w:ascii="仿宋_GB2312" w:hAnsi="仿宋" w:eastAsia="仿宋_GB2312" w:cs="仿宋"/>
          <w:sz w:val="24"/>
          <w:szCs w:val="24"/>
          <w:lang w:eastAsia="zh-CN"/>
        </w:rPr>
        <w:t>—</w:t>
      </w:r>
      <w:r>
        <w:rPr>
          <w:rFonts w:ascii="仿宋_GB2312" w:hAnsi="仿宋" w:eastAsia="仿宋_GB2312" w:cs="仿宋"/>
          <w:sz w:val="24"/>
          <w:szCs w:val="24"/>
        </w:rPr>
        <w:t>2025</w:t>
      </w:r>
      <w:r>
        <w:rPr>
          <w:rFonts w:hint="eastAsia" w:ascii="仿宋_GB2312" w:hAnsi="仿宋" w:eastAsia="仿宋_GB2312" w:cs="仿宋"/>
          <w:sz w:val="24"/>
          <w:szCs w:val="24"/>
        </w:rPr>
        <w:t>年</w:t>
      </w:r>
      <w:r>
        <w:rPr>
          <w:rFonts w:ascii="仿宋_GB2312" w:hAnsi="仿宋" w:eastAsia="仿宋_GB2312" w:cs="仿宋"/>
          <w:sz w:val="24"/>
          <w:szCs w:val="24"/>
        </w:rPr>
        <w:t>)</w:t>
      </w:r>
      <w:r>
        <w:rPr>
          <w:rFonts w:hint="eastAsia" w:ascii="仿宋_GB2312" w:hAnsi="仿宋" w:eastAsia="仿宋_GB2312" w:cs="仿宋"/>
          <w:sz w:val="24"/>
          <w:szCs w:val="24"/>
        </w:rPr>
        <w:t>》和《促进残疾人就业三年行动方案</w:t>
      </w:r>
      <w:r>
        <w:rPr>
          <w:rFonts w:ascii="仿宋_GB2312" w:hAnsi="仿宋" w:eastAsia="仿宋_GB2312" w:cs="仿宋"/>
          <w:sz w:val="24"/>
          <w:szCs w:val="24"/>
        </w:rPr>
        <w:t>(2022</w:t>
      </w:r>
      <w:r>
        <w:rPr>
          <w:rFonts w:hint="eastAsia" w:ascii="仿宋_GB2312" w:hAnsi="仿宋" w:eastAsia="仿宋_GB2312" w:cs="仿宋"/>
          <w:sz w:val="24"/>
          <w:szCs w:val="24"/>
          <w:lang w:eastAsia="zh-CN"/>
        </w:rPr>
        <w:t>—</w:t>
      </w:r>
      <w:r>
        <w:rPr>
          <w:rFonts w:ascii="仿宋_GB2312" w:hAnsi="仿宋" w:eastAsia="仿宋_GB2312" w:cs="仿宋"/>
          <w:sz w:val="24"/>
          <w:szCs w:val="24"/>
        </w:rPr>
        <w:t>2024</w:t>
      </w:r>
      <w:r>
        <w:rPr>
          <w:rFonts w:hint="eastAsia" w:ascii="仿宋_GB2312" w:hAnsi="仿宋" w:eastAsia="仿宋_GB2312" w:cs="仿宋"/>
          <w:sz w:val="24"/>
          <w:szCs w:val="24"/>
        </w:rPr>
        <w:t>年</w:t>
      </w:r>
      <w:r>
        <w:rPr>
          <w:rFonts w:ascii="仿宋_GB2312" w:hAnsi="仿宋" w:eastAsia="仿宋_GB2312" w:cs="仿宋"/>
          <w:sz w:val="24"/>
          <w:szCs w:val="24"/>
        </w:rPr>
        <w:t>)</w:t>
      </w:r>
      <w:r>
        <w:rPr>
          <w:rFonts w:hint="eastAsia" w:ascii="仿宋_GB2312" w:hAnsi="仿宋" w:eastAsia="仿宋_GB2312" w:cs="仿宋"/>
          <w:sz w:val="24"/>
          <w:szCs w:val="24"/>
        </w:rPr>
        <w:t>》</w:t>
      </w:r>
      <w:r>
        <w:rPr>
          <w:rFonts w:ascii="仿宋_GB2312" w:hAnsi="仿宋" w:eastAsia="仿宋_GB2312" w:cs="仿宋"/>
          <w:sz w:val="24"/>
          <w:szCs w:val="24"/>
        </w:rPr>
        <w:t>,</w:t>
      </w:r>
      <w:r>
        <w:rPr>
          <w:rFonts w:hint="eastAsia" w:ascii="仿宋_GB2312" w:hAnsi="仿宋" w:eastAsia="仿宋_GB2312" w:cs="仿宋"/>
          <w:sz w:val="24"/>
          <w:szCs w:val="24"/>
        </w:rPr>
        <w:t>制定我市残疾人职业技能培训、农村实用技术培训等实施办法。完善残疾人职业技能培训管理制度</w:t>
      </w:r>
      <w:r>
        <w:rPr>
          <w:rFonts w:ascii="仿宋_GB2312" w:hAnsi="仿宋" w:eastAsia="仿宋_GB2312" w:cs="仿宋"/>
          <w:sz w:val="24"/>
          <w:szCs w:val="24"/>
        </w:rPr>
        <w:t>,</w:t>
      </w:r>
      <w:r>
        <w:rPr>
          <w:rFonts w:hint="eastAsia" w:ascii="仿宋_GB2312" w:hAnsi="仿宋" w:eastAsia="仿宋_GB2312" w:cs="仿宋"/>
          <w:sz w:val="24"/>
          <w:szCs w:val="24"/>
        </w:rPr>
        <w:t>积极开展线上与线下、理论与实践相结合的残疾人职业技能培训。加强对残疾人就业服务的管理和指导</w:t>
      </w:r>
      <w:r>
        <w:rPr>
          <w:rFonts w:ascii="仿宋_GB2312" w:hAnsi="仿宋" w:eastAsia="仿宋_GB2312" w:cs="仿宋"/>
          <w:sz w:val="24"/>
          <w:szCs w:val="24"/>
        </w:rPr>
        <w:t>,</w:t>
      </w:r>
      <w:r>
        <w:rPr>
          <w:rFonts w:hint="eastAsia" w:ascii="仿宋_GB2312" w:hAnsi="仿宋" w:eastAsia="仿宋_GB2312" w:cs="仿宋"/>
          <w:sz w:val="24"/>
          <w:szCs w:val="24"/>
        </w:rPr>
        <w:t>规范并提高残疾人就业服务水平。</w:t>
      </w:r>
      <w:r>
        <w:rPr>
          <w:rFonts w:ascii="仿宋_GB2312" w:hAnsi="仿宋" w:eastAsia="仿宋_GB2312" w:cs="仿宋"/>
          <w:sz w:val="24"/>
          <w:szCs w:val="24"/>
        </w:rPr>
        <w:t>(</w:t>
      </w:r>
      <w:r>
        <w:rPr>
          <w:rFonts w:hint="eastAsia" w:ascii="仿宋_GB2312" w:hAnsi="仿宋" w:eastAsia="仿宋_GB2312" w:cs="仿宋"/>
          <w:sz w:val="24"/>
          <w:szCs w:val="24"/>
        </w:rPr>
        <w:t>牵头单位</w:t>
      </w:r>
      <w:r>
        <w:rPr>
          <w:rFonts w:hint="eastAsia" w:ascii="仿宋_GB2312" w:hAnsi="仿宋" w:eastAsia="仿宋_GB2312" w:cs="仿宋"/>
          <w:sz w:val="24"/>
          <w:szCs w:val="24"/>
          <w:lang w:eastAsia="zh-CN"/>
        </w:rPr>
        <w:t>：</w:t>
      </w:r>
      <w:r>
        <w:rPr>
          <w:rFonts w:hint="eastAsia" w:ascii="仿宋_GB2312" w:hAnsi="仿宋" w:eastAsia="仿宋_GB2312" w:cs="仿宋"/>
          <w:sz w:val="24"/>
          <w:szCs w:val="24"/>
        </w:rPr>
        <w:t>市残联</w:t>
      </w:r>
      <w:r>
        <w:rPr>
          <w:rFonts w:ascii="仿宋_GB2312" w:hAnsi="仿宋" w:eastAsia="仿宋_GB2312" w:cs="仿宋"/>
          <w:sz w:val="24"/>
          <w:szCs w:val="24"/>
        </w:rPr>
        <w:t>;</w:t>
      </w:r>
      <w:r>
        <w:rPr>
          <w:rFonts w:hint="eastAsia" w:ascii="仿宋_GB2312" w:hAnsi="仿宋" w:eastAsia="仿宋_GB2312" w:cs="仿宋"/>
          <w:sz w:val="24"/>
          <w:szCs w:val="24"/>
          <w:lang w:eastAsia="zh-CN"/>
        </w:rPr>
        <w:t>配合</w:t>
      </w:r>
      <w:r>
        <w:rPr>
          <w:rFonts w:hint="eastAsia" w:ascii="仿宋_GB2312" w:hAnsi="仿宋" w:eastAsia="仿宋_GB2312" w:cs="仿宋"/>
          <w:sz w:val="24"/>
          <w:szCs w:val="24"/>
        </w:rPr>
        <w:t>单位</w:t>
      </w:r>
      <w:r>
        <w:rPr>
          <w:rFonts w:ascii="仿宋_GB2312" w:hAnsi="仿宋" w:eastAsia="仿宋_GB2312" w:cs="仿宋"/>
          <w:sz w:val="24"/>
          <w:szCs w:val="24"/>
        </w:rPr>
        <w:t>:</w:t>
      </w:r>
      <w:r>
        <w:rPr>
          <w:rFonts w:hint="eastAsia" w:ascii="仿宋_GB2312" w:hAnsi="仿宋" w:eastAsia="仿宋_GB2312" w:cs="仿宋"/>
          <w:sz w:val="24"/>
          <w:szCs w:val="24"/>
        </w:rPr>
        <w:t>市人社局</w:t>
      </w:r>
      <w:r>
        <w:rPr>
          <w:rFonts w:ascii="仿宋_GB2312" w:hAnsi="仿宋" w:eastAsia="仿宋_GB2312" w:cs="仿宋"/>
          <w:sz w:val="24"/>
          <w:szCs w:val="24"/>
        </w:rPr>
        <w:t>)</w:t>
      </w:r>
    </w:p>
    <w:p>
      <w:pPr>
        <w:pStyle w:val="42"/>
        <w:keepNext w:val="0"/>
        <w:keepLines w:val="0"/>
        <w:pageBreakBefore w:val="0"/>
        <w:widowControl w:val="0"/>
        <w:kinsoku/>
        <w:wordWrap/>
        <w:overflowPunct/>
        <w:topLinePunct w:val="0"/>
        <w:autoSpaceDE/>
        <w:autoSpaceDN/>
        <w:bidi w:val="0"/>
        <w:adjustRightInd/>
        <w:snapToGrid w:val="0"/>
        <w:spacing w:after="0" w:line="440" w:lineRule="exact"/>
        <w:ind w:firstLine="480" w:firstLineChars="200"/>
        <w:jc w:val="both"/>
        <w:textAlignment w:val="auto"/>
        <w:outlineLvl w:val="9"/>
        <w:rPr>
          <w:rFonts w:ascii="仿宋_GB2312" w:hAnsi="仿宋" w:eastAsia="仿宋_GB2312" w:cs="仿宋"/>
          <w:sz w:val="24"/>
          <w:szCs w:val="24"/>
        </w:rPr>
      </w:pPr>
      <w:r>
        <w:rPr>
          <w:rFonts w:hint="eastAsia" w:ascii="仿宋_GB2312" w:hAnsi="仿宋" w:eastAsia="仿宋_GB2312" w:cs="仿宋"/>
          <w:sz w:val="24"/>
          <w:szCs w:val="24"/>
        </w:rPr>
        <w:t>加强残疾人就业服务和援助。开展高校残疾人毕业生“一人一策”就业服务。推进残疾人就业服务规范化建设。将劳动年龄段内有劳动能力和就业意愿的未就业持证残疾人纳入就业援助范围。为残疾人特别是聋人、盲人参加职业技能培训、就业创业提供无障碍支持服务。举办残疾人职业人才交流、残疾人就业产品市场营销、残疾人就业创业成果展示等活动。</w:t>
      </w:r>
      <w:r>
        <w:rPr>
          <w:rFonts w:ascii="仿宋_GB2312" w:hAnsi="仿宋" w:eastAsia="仿宋_GB2312" w:cs="仿宋"/>
          <w:sz w:val="24"/>
          <w:szCs w:val="24"/>
        </w:rPr>
        <w:t>(</w:t>
      </w:r>
      <w:r>
        <w:rPr>
          <w:rFonts w:hint="eastAsia" w:ascii="仿宋_GB2312" w:hAnsi="仿宋" w:eastAsia="仿宋_GB2312" w:cs="仿宋"/>
          <w:sz w:val="24"/>
          <w:szCs w:val="24"/>
        </w:rPr>
        <w:t>牵头单位</w:t>
      </w:r>
      <w:r>
        <w:rPr>
          <w:rFonts w:hint="eastAsia" w:ascii="仿宋_GB2312" w:hAnsi="仿宋" w:eastAsia="仿宋_GB2312" w:cs="仿宋"/>
          <w:sz w:val="24"/>
          <w:szCs w:val="24"/>
          <w:lang w:eastAsia="zh-CN"/>
        </w:rPr>
        <w:t>：</w:t>
      </w:r>
      <w:r>
        <w:rPr>
          <w:rFonts w:hint="eastAsia" w:ascii="仿宋_GB2312" w:hAnsi="仿宋" w:eastAsia="仿宋_GB2312" w:cs="仿宋"/>
          <w:sz w:val="24"/>
          <w:szCs w:val="24"/>
        </w:rPr>
        <w:t>市人社局</w:t>
      </w:r>
      <w:r>
        <w:rPr>
          <w:rFonts w:ascii="仿宋_GB2312" w:hAnsi="仿宋" w:eastAsia="仿宋_GB2312" w:cs="仿宋"/>
          <w:sz w:val="24"/>
          <w:szCs w:val="24"/>
        </w:rPr>
        <w:t>;</w:t>
      </w:r>
      <w:r>
        <w:rPr>
          <w:rFonts w:hint="eastAsia" w:ascii="仿宋_GB2312" w:hAnsi="仿宋" w:eastAsia="仿宋_GB2312" w:cs="仿宋"/>
          <w:sz w:val="24"/>
          <w:szCs w:val="24"/>
        </w:rPr>
        <w:t>配合单位：市教科局、市残联</w:t>
      </w:r>
      <w:r>
        <w:rPr>
          <w:rFonts w:ascii="仿宋_GB2312" w:hAnsi="仿宋" w:eastAsia="仿宋_GB2312" w:cs="仿宋"/>
          <w:sz w:val="24"/>
          <w:szCs w:val="24"/>
        </w:rPr>
        <w:t>)</w:t>
      </w:r>
    </w:p>
    <w:p>
      <w:pPr>
        <w:pStyle w:val="42"/>
        <w:keepNext w:val="0"/>
        <w:keepLines w:val="0"/>
        <w:pageBreakBefore w:val="0"/>
        <w:widowControl w:val="0"/>
        <w:kinsoku/>
        <w:wordWrap/>
        <w:overflowPunct/>
        <w:topLinePunct w:val="0"/>
        <w:autoSpaceDE/>
        <w:autoSpaceDN/>
        <w:bidi w:val="0"/>
        <w:adjustRightInd/>
        <w:snapToGrid w:val="0"/>
        <w:spacing w:after="0" w:line="440" w:lineRule="exact"/>
        <w:ind w:firstLine="480" w:firstLineChars="200"/>
        <w:jc w:val="both"/>
        <w:textAlignment w:val="auto"/>
        <w:outlineLvl w:val="9"/>
        <w:rPr>
          <w:rFonts w:hint="eastAsia" w:ascii="仿宋_GB2312" w:hAnsi="仿宋" w:eastAsia="仿宋_GB2312" w:cs="仿宋"/>
          <w:sz w:val="24"/>
          <w:szCs w:val="24"/>
        </w:rPr>
      </w:pPr>
      <w:r>
        <w:rPr>
          <w:rFonts w:hint="eastAsia" w:ascii="仿宋_GB2312" w:hAnsi="仿宋" w:eastAsia="仿宋_GB2312" w:cs="仿宋"/>
          <w:sz w:val="24"/>
          <w:szCs w:val="24"/>
        </w:rPr>
        <w:t>依法保障残疾人平等就业权益。合理确定残疾人取得职业资格和入职体检条件。在坚持具有正常履行职责的身体条件的前提下</w:t>
      </w:r>
      <w:r>
        <w:rPr>
          <w:rFonts w:ascii="仿宋_GB2312" w:hAnsi="仿宋" w:eastAsia="仿宋_GB2312" w:cs="仿宋"/>
          <w:sz w:val="24"/>
          <w:szCs w:val="24"/>
        </w:rPr>
        <w:t>,</w:t>
      </w:r>
      <w:r>
        <w:rPr>
          <w:rFonts w:hint="eastAsia" w:ascii="仿宋_GB2312" w:hAnsi="仿宋" w:eastAsia="仿宋_GB2312" w:cs="仿宋"/>
          <w:sz w:val="24"/>
          <w:szCs w:val="24"/>
        </w:rPr>
        <w:t>对残疾人能够胜任的职位、岗位</w:t>
      </w:r>
      <w:r>
        <w:rPr>
          <w:rFonts w:ascii="仿宋_GB2312" w:hAnsi="仿宋" w:eastAsia="仿宋_GB2312" w:cs="仿宋"/>
          <w:sz w:val="24"/>
          <w:szCs w:val="24"/>
        </w:rPr>
        <w:t>,</w:t>
      </w:r>
      <w:r>
        <w:rPr>
          <w:rFonts w:hint="eastAsia" w:ascii="仿宋_GB2312" w:hAnsi="仿宋" w:eastAsia="仿宋_GB2312" w:cs="仿宋"/>
          <w:sz w:val="24"/>
          <w:szCs w:val="24"/>
        </w:rPr>
        <w:t>在同等条件下优先录</w:t>
      </w:r>
      <w:r>
        <w:rPr>
          <w:rFonts w:ascii="仿宋_GB2312" w:hAnsi="仿宋" w:eastAsia="仿宋_GB2312" w:cs="仿宋"/>
          <w:sz w:val="24"/>
          <w:szCs w:val="24"/>
        </w:rPr>
        <w:t>(</w:t>
      </w:r>
      <w:r>
        <w:rPr>
          <w:rFonts w:hint="eastAsia" w:ascii="仿宋_GB2312" w:hAnsi="仿宋" w:eastAsia="仿宋_GB2312" w:cs="仿宋"/>
          <w:sz w:val="24"/>
          <w:szCs w:val="24"/>
        </w:rPr>
        <w:t>聘</w:t>
      </w:r>
      <w:r>
        <w:rPr>
          <w:rFonts w:ascii="仿宋_GB2312" w:hAnsi="仿宋" w:eastAsia="仿宋_GB2312" w:cs="仿宋"/>
          <w:sz w:val="24"/>
          <w:szCs w:val="24"/>
        </w:rPr>
        <w:t>)</w:t>
      </w:r>
      <w:r>
        <w:rPr>
          <w:rFonts w:hint="eastAsia" w:ascii="仿宋_GB2312" w:hAnsi="仿宋" w:eastAsia="仿宋_GB2312" w:cs="仿宋"/>
          <w:sz w:val="24"/>
          <w:szCs w:val="24"/>
        </w:rPr>
        <w:t>用残疾人。用人单位应当帮助残疾职工开发适合的就业岗位</w:t>
      </w:r>
      <w:r>
        <w:rPr>
          <w:rFonts w:ascii="仿宋_GB2312" w:hAnsi="仿宋" w:eastAsia="仿宋_GB2312" w:cs="仿宋"/>
          <w:sz w:val="24"/>
          <w:szCs w:val="24"/>
        </w:rPr>
        <w:t>,</w:t>
      </w:r>
      <w:r>
        <w:rPr>
          <w:rFonts w:hint="eastAsia" w:ascii="仿宋_GB2312" w:hAnsi="仿宋" w:eastAsia="仿宋_GB2312" w:cs="仿宋"/>
          <w:sz w:val="24"/>
          <w:szCs w:val="24"/>
        </w:rPr>
        <w:t>为其提供适合其身心特点的劳动条件、劳动保护、无障碍环境及合理便利</w:t>
      </w:r>
      <w:r>
        <w:rPr>
          <w:rFonts w:ascii="仿宋_GB2312" w:hAnsi="仿宋" w:eastAsia="仿宋_GB2312" w:cs="仿宋"/>
          <w:sz w:val="24"/>
          <w:szCs w:val="24"/>
        </w:rPr>
        <w:t>,</w:t>
      </w:r>
      <w:r>
        <w:rPr>
          <w:rFonts w:hint="eastAsia" w:ascii="仿宋_GB2312" w:hAnsi="仿宋" w:eastAsia="仿宋_GB2312" w:cs="仿宋"/>
          <w:sz w:val="24"/>
          <w:szCs w:val="24"/>
        </w:rPr>
        <w:t>在晋职、晋级、职称评定、社会保险、生活福利等方面给予其平等待遇。加强残疾人就业劳动监察，坚决防范和打击侵害残疾人就业权益的行为。（牵头单位：市人社局；配合单位：市委组织部、市残联）</w:t>
      </w:r>
    </w:p>
    <w:p>
      <w:pPr>
        <w:pageBreakBefore w:val="0"/>
        <w:widowControl w:val="0"/>
        <w:wordWrap/>
        <w:overflowPunct/>
        <w:topLinePunct w:val="0"/>
        <w:bidi w:val="0"/>
        <w:snapToGrid w:val="0"/>
        <w:spacing w:line="500" w:lineRule="exact"/>
        <w:jc w:val="center"/>
        <w:outlineLvl w:val="9"/>
        <w:rPr>
          <w:rFonts w:hint="eastAsia" w:ascii="黑体" w:hAnsi="黑体" w:eastAsia="黑体" w:cs="黑体"/>
          <w:sz w:val="24"/>
          <w:szCs w:val="24"/>
        </w:rPr>
      </w:pPr>
    </w:p>
    <w:p>
      <w:pPr>
        <w:pageBreakBefore w:val="0"/>
        <w:widowControl w:val="0"/>
        <w:wordWrap/>
        <w:overflowPunct/>
        <w:topLinePunct w:val="0"/>
        <w:bidi w:val="0"/>
        <w:snapToGrid w:val="0"/>
        <w:spacing w:line="500" w:lineRule="exact"/>
        <w:jc w:val="center"/>
        <w:outlineLvl w:val="9"/>
        <w:rPr>
          <w:rFonts w:hint="eastAsia" w:ascii="黑体" w:hAnsi="黑体" w:eastAsia="黑体" w:cs="黑体"/>
          <w:sz w:val="24"/>
          <w:szCs w:val="24"/>
        </w:rPr>
        <w:sectPr>
          <w:type w:val="continuous"/>
          <w:pgSz w:w="12240" w:h="16498"/>
          <w:pgMar w:top="1145" w:right="1389" w:bottom="1134" w:left="1389" w:header="1043" w:footer="992" w:gutter="0"/>
          <w:pgNumType w:fmt="decimal"/>
          <w:cols w:equalWidth="0" w:num="2">
            <w:col w:w="4518" w:space="425"/>
            <w:col w:w="4518"/>
          </w:cols>
          <w:rtlGutter w:val="0"/>
          <w:docGrid w:type="lines" w:linePitch="312" w:charSpace="0"/>
        </w:sectPr>
      </w:pPr>
    </w:p>
    <w:tbl>
      <w:tblPr>
        <w:tblStyle w:val="18"/>
        <w:tblpPr w:leftFromText="180" w:rightFromText="180" w:vertAnchor="page" w:horzAnchor="page" w:tblpXSpec="center" w:tblpY="7999"/>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411"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wordWrap/>
              <w:overflowPunct/>
              <w:topLinePunct w:val="0"/>
              <w:bidi w:val="0"/>
              <w:snapToGrid w:val="0"/>
              <w:spacing w:line="500" w:lineRule="exact"/>
              <w:jc w:val="center"/>
              <w:outlineLvl w:val="9"/>
              <w:rPr>
                <w:rFonts w:ascii="仿宋_GB2312" w:hAnsi="仿宋_GB2312" w:eastAsia="仿宋_GB2312" w:cs="仿宋_GB2312"/>
                <w:sz w:val="24"/>
                <w:szCs w:val="24"/>
              </w:rPr>
            </w:pPr>
            <w:bookmarkStart w:id="17" w:name="bookmark0"/>
            <w:bookmarkEnd w:id="17"/>
            <w:r>
              <w:rPr>
                <w:rFonts w:hint="eastAsia" w:ascii="黑体" w:hAnsi="黑体" w:eastAsia="黑体" w:cs="黑体"/>
                <w:sz w:val="28"/>
                <w:szCs w:val="28"/>
              </w:rPr>
              <w:t>专栏</w:t>
            </w:r>
            <w:r>
              <w:rPr>
                <w:rFonts w:ascii="黑体" w:hAnsi="黑体" w:eastAsia="黑体" w:cs="黑体"/>
                <w:sz w:val="28"/>
                <w:szCs w:val="28"/>
              </w:rPr>
              <w:t>4</w:t>
            </w:r>
            <w:r>
              <w:rPr>
                <w:rFonts w:hint="eastAsia" w:ascii="黑体" w:hAnsi="黑体" w:eastAsia="黑体" w:cs="黑体"/>
                <w:sz w:val="28"/>
                <w:szCs w:val="28"/>
              </w:rPr>
              <w:t xml:space="preserve">  残疾人就业服务重点项目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11"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val="0"/>
              <w:spacing w:line="420" w:lineRule="exact"/>
              <w:ind w:firstLine="480" w:firstLineChars="200"/>
              <w:textAlignment w:val="auto"/>
              <w:outlineLvl w:val="9"/>
              <w:rPr>
                <w:rFonts w:ascii="仿宋_GB2312" w:hAnsi="仿宋_GB2312" w:eastAsia="仿宋_GB2312" w:cs="仿宋_GB2312"/>
                <w:spacing w:val="0"/>
                <w:sz w:val="24"/>
                <w:szCs w:val="24"/>
              </w:rPr>
            </w:pPr>
            <w:r>
              <w:rPr>
                <w:rFonts w:ascii="仿宋_GB2312" w:hAnsi="仿宋_GB2312" w:eastAsia="仿宋_GB2312" w:cs="仿宋_GB2312"/>
                <w:spacing w:val="0"/>
                <w:sz w:val="24"/>
                <w:szCs w:val="24"/>
              </w:rPr>
              <w:t>1.</w:t>
            </w:r>
            <w:r>
              <w:rPr>
                <w:rFonts w:hint="eastAsia" w:ascii="仿宋_GB2312" w:hAnsi="仿宋_GB2312" w:eastAsia="仿宋_GB2312" w:cs="仿宋_GB2312"/>
                <w:spacing w:val="0"/>
                <w:sz w:val="24"/>
                <w:szCs w:val="24"/>
              </w:rPr>
              <w:t>党政机关、事业单位、国有企业带头安排残疾人就业项目。到</w:t>
            </w:r>
            <w:r>
              <w:rPr>
                <w:rFonts w:ascii="仿宋_GB2312" w:hAnsi="仿宋_GB2312" w:eastAsia="仿宋_GB2312" w:cs="仿宋_GB2312"/>
                <w:spacing w:val="0"/>
                <w:sz w:val="24"/>
                <w:szCs w:val="24"/>
              </w:rPr>
              <w:t>2025</w:t>
            </w:r>
            <w:r>
              <w:rPr>
                <w:rFonts w:hint="eastAsia" w:ascii="仿宋_GB2312" w:hAnsi="仿宋_GB2312" w:eastAsia="仿宋_GB2312" w:cs="仿宋_GB2312"/>
                <w:spacing w:val="0"/>
                <w:sz w:val="24"/>
                <w:szCs w:val="24"/>
              </w:rPr>
              <w:t>年，编制</w:t>
            </w:r>
            <w:r>
              <w:rPr>
                <w:rFonts w:ascii="仿宋_GB2312" w:hAnsi="仿宋_GB2312" w:eastAsia="仿宋_GB2312" w:cs="仿宋_GB2312"/>
                <w:spacing w:val="0"/>
                <w:sz w:val="24"/>
                <w:szCs w:val="24"/>
              </w:rPr>
              <w:t>50</w:t>
            </w:r>
            <w:r>
              <w:rPr>
                <w:rFonts w:hint="eastAsia" w:ascii="仿宋_GB2312" w:hAnsi="仿宋_GB2312" w:eastAsia="仿宋_GB2312" w:cs="仿宋_GB2312"/>
                <w:spacing w:val="0"/>
                <w:sz w:val="24"/>
                <w:szCs w:val="24"/>
              </w:rPr>
              <w:t>人（含）以上的党政机关、编制</w:t>
            </w:r>
            <w:r>
              <w:rPr>
                <w:rFonts w:ascii="仿宋_GB2312" w:hAnsi="仿宋_GB2312" w:eastAsia="仿宋_GB2312" w:cs="仿宋_GB2312"/>
                <w:spacing w:val="0"/>
                <w:sz w:val="24"/>
                <w:szCs w:val="24"/>
              </w:rPr>
              <w:t>67</w:t>
            </w:r>
            <w:r>
              <w:rPr>
                <w:rFonts w:hint="eastAsia" w:ascii="仿宋_GB2312" w:hAnsi="仿宋_GB2312" w:eastAsia="仿宋_GB2312" w:cs="仿宋_GB2312"/>
                <w:spacing w:val="0"/>
                <w:sz w:val="24"/>
                <w:szCs w:val="24"/>
              </w:rPr>
              <w:t>人（含）以上的事业单位（中小学、幼儿园除外）安排残疾人就业未达到本单位在职职工总数</w:t>
            </w:r>
            <w:r>
              <w:rPr>
                <w:rFonts w:ascii="仿宋_GB2312" w:hAnsi="仿宋_GB2312" w:eastAsia="仿宋_GB2312" w:cs="仿宋_GB2312"/>
                <w:spacing w:val="0"/>
                <w:sz w:val="24"/>
                <w:szCs w:val="24"/>
                <w:lang w:eastAsia="en-US"/>
              </w:rPr>
              <w:t xml:space="preserve">1. </w:t>
            </w:r>
            <w:r>
              <w:rPr>
                <w:rFonts w:ascii="仿宋_GB2312" w:hAnsi="仿宋_GB2312" w:eastAsia="仿宋_GB2312" w:cs="仿宋_GB2312"/>
                <w:spacing w:val="0"/>
                <w:sz w:val="24"/>
                <w:szCs w:val="24"/>
              </w:rPr>
              <w:t>5%</w:t>
            </w:r>
            <w:r>
              <w:rPr>
                <w:rFonts w:hint="eastAsia" w:ascii="仿宋_GB2312" w:hAnsi="仿宋_GB2312" w:eastAsia="仿宋_GB2312" w:cs="仿宋_GB2312"/>
                <w:spacing w:val="0"/>
                <w:sz w:val="24"/>
                <w:szCs w:val="24"/>
              </w:rPr>
              <w:t>的，至少安排</w:t>
            </w:r>
            <w:r>
              <w:rPr>
                <w:rFonts w:ascii="仿宋_GB2312" w:hAnsi="仿宋_GB2312" w:eastAsia="仿宋_GB2312" w:cs="仿宋_GB2312"/>
                <w:spacing w:val="0"/>
                <w:sz w:val="24"/>
                <w:szCs w:val="24"/>
              </w:rPr>
              <w:t>1</w:t>
            </w:r>
            <w:r>
              <w:rPr>
                <w:rFonts w:hint="eastAsia" w:ascii="仿宋_GB2312" w:hAnsi="仿宋_GB2312" w:eastAsia="仿宋_GB2312" w:cs="仿宋_GB2312"/>
                <w:spacing w:val="0"/>
                <w:sz w:val="24"/>
                <w:szCs w:val="24"/>
              </w:rPr>
              <w:t>名残疾人就业。市残联机关干部队伍中要有</w:t>
            </w:r>
            <w:r>
              <w:rPr>
                <w:rFonts w:ascii="仿宋_GB2312" w:hAnsi="仿宋_GB2312" w:eastAsia="仿宋_GB2312" w:cs="仿宋_GB2312"/>
                <w:spacing w:val="0"/>
                <w:sz w:val="24"/>
                <w:szCs w:val="24"/>
              </w:rPr>
              <w:t>15%</w:t>
            </w:r>
            <w:r>
              <w:rPr>
                <w:rFonts w:hint="eastAsia" w:ascii="仿宋_GB2312" w:hAnsi="仿宋_GB2312" w:eastAsia="仿宋_GB2312" w:cs="仿宋_GB2312"/>
                <w:spacing w:val="0"/>
                <w:sz w:val="24"/>
                <w:szCs w:val="24"/>
              </w:rPr>
              <w:t>以上的残疾人。安排残疾人就业未达到规定比例的国有企业应当根据行业特点，积极开发适合残疾人就业的岗位，安排残疾人就业。</w:t>
            </w:r>
          </w:p>
          <w:p>
            <w:pPr>
              <w:keepNext w:val="0"/>
              <w:keepLines w:val="0"/>
              <w:pageBreakBefore w:val="0"/>
              <w:widowControl w:val="0"/>
              <w:kinsoku/>
              <w:wordWrap/>
              <w:overflowPunct/>
              <w:topLinePunct w:val="0"/>
              <w:autoSpaceDE/>
              <w:autoSpaceDN/>
              <w:bidi w:val="0"/>
              <w:adjustRightInd/>
              <w:snapToGrid w:val="0"/>
              <w:spacing w:line="420" w:lineRule="exact"/>
              <w:ind w:firstLine="480" w:firstLineChars="200"/>
              <w:textAlignment w:val="auto"/>
              <w:outlineLvl w:val="9"/>
              <w:rPr>
                <w:rFonts w:ascii="仿宋_GB2312" w:hAnsi="仿宋_GB2312" w:eastAsia="仿宋_GB2312" w:cs="仿宋_GB2312"/>
                <w:spacing w:val="0"/>
                <w:sz w:val="24"/>
                <w:szCs w:val="24"/>
              </w:rPr>
            </w:pPr>
            <w:bookmarkStart w:id="18" w:name="bookmark1"/>
            <w:bookmarkEnd w:id="18"/>
            <w:r>
              <w:rPr>
                <w:rFonts w:ascii="仿宋_GB2312" w:hAnsi="仿宋_GB2312" w:eastAsia="仿宋_GB2312" w:cs="仿宋_GB2312"/>
                <w:spacing w:val="0"/>
                <w:sz w:val="24"/>
                <w:szCs w:val="24"/>
              </w:rPr>
              <w:t>2.</w:t>
            </w:r>
            <w:r>
              <w:rPr>
                <w:rFonts w:hint="eastAsia" w:ascii="仿宋_GB2312" w:hAnsi="仿宋_GB2312" w:eastAsia="仿宋_GB2312" w:cs="仿宋_GB2312"/>
                <w:spacing w:val="0"/>
                <w:sz w:val="24"/>
                <w:szCs w:val="24"/>
              </w:rPr>
              <w:t>农村残疾人就业帮扶基地建设项目。依托各类新型农业经营主体，扶持一批残疾人就业帮扶基地，带动残疾人稳定就业、生产增收。</w:t>
            </w:r>
          </w:p>
          <w:p>
            <w:pPr>
              <w:keepNext w:val="0"/>
              <w:keepLines w:val="0"/>
              <w:pageBreakBefore w:val="0"/>
              <w:widowControl w:val="0"/>
              <w:kinsoku/>
              <w:wordWrap/>
              <w:overflowPunct/>
              <w:topLinePunct w:val="0"/>
              <w:autoSpaceDE/>
              <w:autoSpaceDN/>
              <w:bidi w:val="0"/>
              <w:adjustRightInd/>
              <w:snapToGrid w:val="0"/>
              <w:spacing w:line="420" w:lineRule="exact"/>
              <w:ind w:firstLine="480" w:firstLineChars="200"/>
              <w:textAlignment w:val="auto"/>
              <w:outlineLvl w:val="9"/>
              <w:rPr>
                <w:rFonts w:ascii="仿宋_GB2312" w:hAnsi="仿宋_GB2312" w:eastAsia="仿宋_GB2312" w:cs="仿宋_GB2312"/>
                <w:spacing w:val="0"/>
                <w:sz w:val="24"/>
                <w:szCs w:val="24"/>
              </w:rPr>
            </w:pPr>
            <w:bookmarkStart w:id="19" w:name="bookmark2"/>
            <w:bookmarkEnd w:id="19"/>
            <w:r>
              <w:rPr>
                <w:rFonts w:ascii="仿宋_GB2312" w:hAnsi="仿宋_GB2312" w:eastAsia="仿宋_GB2312" w:cs="仿宋_GB2312"/>
                <w:spacing w:val="0"/>
                <w:sz w:val="24"/>
                <w:szCs w:val="24"/>
              </w:rPr>
              <w:t>3.</w:t>
            </w:r>
            <w:r>
              <w:rPr>
                <w:rFonts w:hint="eastAsia" w:ascii="仿宋_GB2312" w:hAnsi="仿宋_GB2312" w:eastAsia="仿宋_GB2312" w:cs="仿宋_GB2312"/>
                <w:spacing w:val="0"/>
                <w:sz w:val="24"/>
                <w:szCs w:val="24"/>
              </w:rPr>
              <w:t>残疾人职业技能培训和创业孵化基地建设项目。依托企业、职业院校和社会培训机构等，建立一批残疾人职业技能培训和创业孵化基地，提升残疾人职业技能培训、实习见习和就业创业服务水平。</w:t>
            </w:r>
          </w:p>
          <w:p>
            <w:pPr>
              <w:keepNext w:val="0"/>
              <w:keepLines w:val="0"/>
              <w:pageBreakBefore w:val="0"/>
              <w:widowControl w:val="0"/>
              <w:kinsoku/>
              <w:wordWrap/>
              <w:overflowPunct/>
              <w:topLinePunct w:val="0"/>
              <w:autoSpaceDE/>
              <w:autoSpaceDN/>
              <w:bidi w:val="0"/>
              <w:adjustRightInd/>
              <w:snapToGrid w:val="0"/>
              <w:spacing w:line="420" w:lineRule="exact"/>
              <w:ind w:firstLine="480" w:firstLineChars="200"/>
              <w:textAlignment w:val="auto"/>
              <w:outlineLvl w:val="9"/>
              <w:rPr>
                <w:rFonts w:ascii="仿宋_GB2312" w:hAnsi="仿宋_GB2312" w:eastAsia="仿宋_GB2312" w:cs="仿宋_GB2312"/>
                <w:spacing w:val="0"/>
                <w:sz w:val="24"/>
                <w:szCs w:val="24"/>
              </w:rPr>
            </w:pPr>
            <w:bookmarkStart w:id="20" w:name="bookmark3"/>
            <w:bookmarkEnd w:id="20"/>
            <w:r>
              <w:rPr>
                <w:rFonts w:ascii="仿宋_GB2312" w:hAnsi="仿宋_GB2312" w:eastAsia="仿宋_GB2312" w:cs="仿宋_GB2312"/>
                <w:spacing w:val="0"/>
                <w:sz w:val="24"/>
                <w:szCs w:val="24"/>
              </w:rPr>
              <w:t>4.</w:t>
            </w:r>
            <w:r>
              <w:rPr>
                <w:rFonts w:hint="eastAsia" w:ascii="仿宋_GB2312" w:hAnsi="仿宋_GB2312" w:eastAsia="仿宋_GB2312" w:cs="仿宋_GB2312"/>
                <w:spacing w:val="0"/>
                <w:sz w:val="24"/>
                <w:szCs w:val="24"/>
              </w:rPr>
              <w:t>盲人按摩提升项目。支持盲人按摩实训基地和按摩机构建设。</w:t>
            </w:r>
          </w:p>
          <w:p>
            <w:pPr>
              <w:keepNext w:val="0"/>
              <w:keepLines w:val="0"/>
              <w:pageBreakBefore w:val="0"/>
              <w:widowControl w:val="0"/>
              <w:kinsoku/>
              <w:wordWrap/>
              <w:overflowPunct/>
              <w:topLinePunct w:val="0"/>
              <w:autoSpaceDE/>
              <w:autoSpaceDN/>
              <w:bidi w:val="0"/>
              <w:adjustRightInd/>
              <w:snapToGrid w:val="0"/>
              <w:spacing w:line="420" w:lineRule="exact"/>
              <w:ind w:firstLine="480" w:firstLineChars="200"/>
              <w:textAlignment w:val="auto"/>
              <w:outlineLvl w:val="9"/>
              <w:rPr>
                <w:rFonts w:ascii="仿宋_GB2312" w:hAnsi="仿宋_GB2312" w:eastAsia="仿宋_GB2312" w:cs="仿宋_GB2312"/>
                <w:spacing w:val="0"/>
                <w:sz w:val="24"/>
                <w:szCs w:val="24"/>
              </w:rPr>
            </w:pPr>
            <w:bookmarkStart w:id="21" w:name="bookmark4"/>
            <w:bookmarkEnd w:id="21"/>
            <w:r>
              <w:rPr>
                <w:rFonts w:ascii="仿宋_GB2312" w:hAnsi="仿宋_GB2312" w:eastAsia="仿宋_GB2312" w:cs="仿宋_GB2312"/>
                <w:spacing w:val="0"/>
                <w:sz w:val="24"/>
                <w:szCs w:val="24"/>
              </w:rPr>
              <w:t>5.</w:t>
            </w:r>
            <w:r>
              <w:rPr>
                <w:rFonts w:hint="eastAsia" w:ascii="仿宋_GB2312" w:hAnsi="仿宋_GB2312" w:eastAsia="仿宋_GB2312" w:cs="仿宋_GB2312"/>
                <w:spacing w:val="0"/>
                <w:sz w:val="24"/>
                <w:szCs w:val="24"/>
              </w:rPr>
              <w:t>残疾人辅助性就业项目。推动将残疾人辅助性就业服务纳入政府购买范围，鼓励和引导市场主体和社会力量提供辅助性就业服务。</w:t>
            </w:r>
          </w:p>
          <w:p>
            <w:pPr>
              <w:keepNext w:val="0"/>
              <w:keepLines w:val="0"/>
              <w:pageBreakBefore w:val="0"/>
              <w:widowControl w:val="0"/>
              <w:kinsoku/>
              <w:wordWrap/>
              <w:overflowPunct/>
              <w:topLinePunct w:val="0"/>
              <w:autoSpaceDE/>
              <w:autoSpaceDN/>
              <w:bidi w:val="0"/>
              <w:adjustRightInd/>
              <w:snapToGrid w:val="0"/>
              <w:spacing w:line="420" w:lineRule="exact"/>
              <w:ind w:firstLine="480" w:firstLineChars="200"/>
              <w:textAlignment w:val="auto"/>
              <w:outlineLvl w:val="9"/>
              <w:rPr>
                <w:rFonts w:ascii="仿宋_GB2312" w:hAnsi="仿宋_GB2312" w:eastAsia="仿宋_GB2312" w:cs="仿宋_GB2312"/>
                <w:sz w:val="24"/>
                <w:szCs w:val="24"/>
              </w:rPr>
            </w:pPr>
            <w:bookmarkStart w:id="22" w:name="bookmark5"/>
            <w:bookmarkEnd w:id="22"/>
            <w:r>
              <w:rPr>
                <w:rFonts w:ascii="仿宋_GB2312" w:hAnsi="仿宋_GB2312" w:eastAsia="仿宋_GB2312" w:cs="仿宋_GB2312"/>
                <w:spacing w:val="0"/>
                <w:sz w:val="24"/>
                <w:szCs w:val="24"/>
              </w:rPr>
              <w:t>6.</w:t>
            </w:r>
            <w:r>
              <w:rPr>
                <w:rFonts w:hint="eastAsia" w:ascii="仿宋_GB2312" w:hAnsi="仿宋_GB2312" w:eastAsia="仿宋_GB2312" w:cs="仿宋_GB2312"/>
                <w:spacing w:val="0"/>
                <w:sz w:val="24"/>
                <w:szCs w:val="24"/>
              </w:rPr>
              <w:t>残疾人公益性岗位项目。增加和设置适合残疾人就业的公益性岗位，优先安排条件适宜的残</w:t>
            </w:r>
            <w:r>
              <w:rPr>
                <w:rFonts w:hint="eastAsia" w:ascii="仿宋_GB2312" w:hAnsi="仿宋_GB2312" w:eastAsia="仿宋_GB2312" w:cs="仿宋_GB2312"/>
                <w:spacing w:val="0"/>
                <w:sz w:val="24"/>
                <w:szCs w:val="24"/>
                <w:lang w:val="zh-CN"/>
              </w:rPr>
              <w:t>疾人。</w:t>
            </w:r>
          </w:p>
        </w:tc>
      </w:tr>
    </w:tbl>
    <w:p>
      <w:pPr>
        <w:pageBreakBefore w:val="0"/>
        <w:widowControl w:val="0"/>
        <w:wordWrap/>
        <w:overflowPunct/>
        <w:topLinePunct w:val="0"/>
        <w:bidi w:val="0"/>
        <w:snapToGrid w:val="0"/>
        <w:spacing w:line="500" w:lineRule="exact"/>
        <w:ind w:firstLine="483" w:firstLineChars="198"/>
        <w:outlineLvl w:val="9"/>
        <w:rPr>
          <w:rFonts w:hint="eastAsia" w:ascii="楷体_GB2312" w:hAnsi="楷体" w:eastAsia="楷体_GB2312" w:cs="楷体"/>
          <w:w w:val="102"/>
          <w:sz w:val="24"/>
          <w:szCs w:val="24"/>
        </w:rPr>
        <w:sectPr>
          <w:type w:val="continuous"/>
          <w:pgSz w:w="12240" w:h="16498"/>
          <w:pgMar w:top="1145" w:right="1389" w:bottom="1134" w:left="1389" w:header="1043" w:footer="992" w:gutter="0"/>
          <w:pgNumType w:fmt="decimal"/>
          <w:cols w:space="425" w:num="1"/>
          <w:rtlGutter w:val="0"/>
          <w:docGrid w:type="lines" w:linePitch="312" w:charSpace="0"/>
        </w:sectPr>
      </w:pPr>
    </w:p>
    <w:p>
      <w:pPr>
        <w:pStyle w:val="5"/>
        <w:keepNext w:val="0"/>
        <w:keepLines w:val="0"/>
        <w:pageBreakBefore w:val="0"/>
        <w:widowControl w:val="0"/>
        <w:kinsoku/>
        <w:wordWrap/>
        <w:overflowPunct/>
        <w:topLinePunct w:val="0"/>
        <w:autoSpaceDE/>
        <w:autoSpaceDN/>
        <w:bidi w:val="0"/>
        <w:adjustRightInd/>
        <w:snapToGrid w:val="0"/>
        <w:spacing w:line="470" w:lineRule="exact"/>
        <w:textAlignment w:val="auto"/>
        <w:rPr>
          <w:rFonts w:ascii="楷体_GB2312" w:hAnsi="楷体" w:eastAsia="楷体_GB2312" w:cs="楷体"/>
          <w:w w:val="102"/>
          <w:szCs w:val="24"/>
        </w:rPr>
      </w:pPr>
      <w:r>
        <w:rPr>
          <w:rFonts w:hint="eastAsia"/>
        </w:rPr>
        <w:t>（四）健全残疾人关爱服务体系，提升残疾人公共服务质量。</w:t>
      </w:r>
    </w:p>
    <w:p>
      <w:pPr>
        <w:pStyle w:val="42"/>
        <w:keepNext w:val="0"/>
        <w:keepLines w:val="0"/>
        <w:pageBreakBefore w:val="0"/>
        <w:widowControl w:val="0"/>
        <w:kinsoku/>
        <w:wordWrap/>
        <w:overflowPunct/>
        <w:topLinePunct w:val="0"/>
        <w:autoSpaceDE/>
        <w:autoSpaceDN/>
        <w:bidi w:val="0"/>
        <w:adjustRightInd/>
        <w:snapToGrid w:val="0"/>
        <w:spacing w:after="0" w:line="470" w:lineRule="exact"/>
        <w:ind w:firstLine="480" w:firstLineChars="200"/>
        <w:jc w:val="both"/>
        <w:textAlignment w:val="auto"/>
        <w:outlineLvl w:val="9"/>
        <w:rPr>
          <w:rFonts w:ascii="仿宋_GB2312" w:hAnsi="仿宋" w:eastAsia="仿宋_GB2312" w:cs="仿宋"/>
          <w:sz w:val="24"/>
          <w:szCs w:val="24"/>
        </w:rPr>
      </w:pPr>
      <w:r>
        <w:rPr>
          <w:rFonts w:hint="eastAsia" w:ascii="仿宋_GB2312" w:hAnsi="仿宋" w:eastAsia="仿宋_GB2312" w:cs="仿宋"/>
          <w:sz w:val="24"/>
          <w:szCs w:val="24"/>
        </w:rPr>
        <w:t>加强残疾人健康服务。加强和改善残疾人医疗服务，为残疾人提供就医便利，维护残疾人平等就医权利。全面推进残疾人家庭医生签约服务，按照协议为残疾人就近就便提供基本医疗、公共卫生、健康管理和康复护理等个性化服务。强化残疾人心理健康服务。关注残疾妇女健康</w:t>
      </w:r>
      <w:r>
        <w:rPr>
          <w:rFonts w:ascii="仿宋_GB2312" w:hAnsi="仿宋" w:eastAsia="仿宋_GB2312" w:cs="仿宋"/>
          <w:sz w:val="24"/>
          <w:szCs w:val="24"/>
        </w:rPr>
        <w:t>,</w:t>
      </w:r>
      <w:r>
        <w:rPr>
          <w:rFonts w:hint="eastAsia" w:ascii="仿宋_GB2312" w:hAnsi="仿宋" w:eastAsia="仿宋_GB2312" w:cs="仿宋"/>
          <w:sz w:val="24"/>
          <w:szCs w:val="24"/>
        </w:rPr>
        <w:t>开展生殖健康服务。</w:t>
      </w:r>
      <w:r>
        <w:rPr>
          <w:rFonts w:ascii="仿宋_GB2312" w:hAnsi="仿宋" w:eastAsia="仿宋_GB2312" w:cs="仿宋"/>
          <w:sz w:val="24"/>
          <w:szCs w:val="24"/>
        </w:rPr>
        <w:t>(</w:t>
      </w:r>
      <w:r>
        <w:rPr>
          <w:rFonts w:hint="eastAsia" w:ascii="仿宋_GB2312" w:hAnsi="仿宋" w:eastAsia="仿宋_GB2312" w:cs="仿宋"/>
          <w:sz w:val="24"/>
          <w:szCs w:val="24"/>
        </w:rPr>
        <w:t>牵头</w:t>
      </w:r>
      <w:r>
        <w:rPr>
          <w:rFonts w:hint="eastAsia" w:ascii="仿宋_GB2312" w:hAnsi="仿宋" w:eastAsia="仿宋_GB2312" w:cs="仿宋"/>
          <w:sz w:val="24"/>
          <w:szCs w:val="24"/>
          <w:lang w:eastAsia="zh-CN"/>
        </w:rPr>
        <w:t>单位</w:t>
      </w:r>
      <w:r>
        <w:rPr>
          <w:rFonts w:ascii="仿宋_GB2312" w:hAnsi="仿宋" w:eastAsia="仿宋_GB2312" w:cs="仿宋"/>
          <w:sz w:val="24"/>
          <w:szCs w:val="24"/>
        </w:rPr>
        <w:t>:</w:t>
      </w:r>
      <w:r>
        <w:rPr>
          <w:rFonts w:hint="eastAsia" w:ascii="仿宋_GB2312" w:hAnsi="仿宋" w:eastAsia="仿宋_GB2312" w:cs="仿宋"/>
          <w:sz w:val="24"/>
          <w:szCs w:val="24"/>
        </w:rPr>
        <w:t>市</w:t>
      </w:r>
      <w:r>
        <w:rPr>
          <w:rFonts w:hint="eastAsia" w:ascii="仿宋_GB2312" w:hAnsi="仿宋" w:eastAsia="仿宋_GB2312" w:cs="仿宋"/>
          <w:sz w:val="24"/>
          <w:szCs w:val="24"/>
          <w:lang w:eastAsia="zh-CN"/>
        </w:rPr>
        <w:t>卫生健康和体育</w:t>
      </w:r>
      <w:r>
        <w:rPr>
          <w:rFonts w:hint="eastAsia" w:ascii="仿宋_GB2312" w:hAnsi="仿宋" w:eastAsia="仿宋_GB2312" w:cs="仿宋"/>
          <w:sz w:val="24"/>
          <w:szCs w:val="24"/>
        </w:rPr>
        <w:t>局</w:t>
      </w:r>
      <w:r>
        <w:rPr>
          <w:rFonts w:ascii="仿宋_GB2312" w:hAnsi="仿宋" w:eastAsia="仿宋_GB2312" w:cs="仿宋"/>
          <w:sz w:val="24"/>
          <w:szCs w:val="24"/>
        </w:rPr>
        <w:t>;</w:t>
      </w:r>
      <w:r>
        <w:rPr>
          <w:rFonts w:hint="eastAsia" w:ascii="仿宋_GB2312" w:hAnsi="仿宋" w:eastAsia="仿宋_GB2312" w:cs="仿宋"/>
          <w:sz w:val="24"/>
          <w:szCs w:val="24"/>
          <w:lang w:eastAsia="zh-CN"/>
        </w:rPr>
        <w:t>配合单位</w:t>
      </w:r>
      <w:r>
        <w:rPr>
          <w:rFonts w:ascii="仿宋_GB2312" w:hAnsi="仿宋" w:eastAsia="仿宋_GB2312" w:cs="仿宋"/>
          <w:sz w:val="24"/>
          <w:szCs w:val="24"/>
        </w:rPr>
        <w:t>:</w:t>
      </w:r>
      <w:r>
        <w:rPr>
          <w:rFonts w:hint="eastAsia" w:ascii="仿宋_GB2312" w:hAnsi="仿宋" w:eastAsia="仿宋_GB2312" w:cs="仿宋"/>
          <w:sz w:val="24"/>
          <w:szCs w:val="24"/>
        </w:rPr>
        <w:t>市残联、市妇联</w:t>
      </w:r>
      <w:r>
        <w:rPr>
          <w:rFonts w:ascii="仿宋_GB2312" w:hAnsi="仿宋" w:eastAsia="仿宋_GB2312" w:cs="仿宋"/>
          <w:sz w:val="24"/>
          <w:szCs w:val="24"/>
        </w:rPr>
        <w:t xml:space="preserve"> )</w:t>
      </w:r>
    </w:p>
    <w:p>
      <w:pPr>
        <w:pStyle w:val="42"/>
        <w:keepNext w:val="0"/>
        <w:keepLines w:val="0"/>
        <w:pageBreakBefore w:val="0"/>
        <w:widowControl w:val="0"/>
        <w:kinsoku/>
        <w:wordWrap/>
        <w:overflowPunct/>
        <w:topLinePunct w:val="0"/>
        <w:autoSpaceDE/>
        <w:autoSpaceDN/>
        <w:bidi w:val="0"/>
        <w:adjustRightInd/>
        <w:snapToGrid w:val="0"/>
        <w:spacing w:after="0" w:line="470" w:lineRule="exact"/>
        <w:ind w:firstLine="480" w:firstLineChars="200"/>
        <w:jc w:val="both"/>
        <w:textAlignment w:val="auto"/>
        <w:outlineLvl w:val="9"/>
        <w:rPr>
          <w:rFonts w:ascii="仿宋_GB2312" w:hAnsi="仿宋" w:eastAsia="仿宋_GB2312" w:cs="仿宋"/>
          <w:sz w:val="24"/>
          <w:szCs w:val="24"/>
        </w:rPr>
      </w:pPr>
      <w:r>
        <w:rPr>
          <w:rFonts w:hint="eastAsia" w:ascii="仿宋_GB2312" w:hAnsi="仿宋" w:eastAsia="仿宋_GB2312" w:cs="仿宋"/>
          <w:sz w:val="24"/>
          <w:szCs w:val="24"/>
        </w:rPr>
        <w:t>提升残疾人康复服务质量。按照残疾人基本康复服务目录，继续实施精准康复服务行动，提升康复服务质量，推广居家康复、机构康复、医院康复相结合</w:t>
      </w:r>
      <w:r>
        <w:rPr>
          <w:rFonts w:ascii="仿宋_GB2312" w:hAnsi="仿宋" w:eastAsia="仿宋_GB2312" w:cs="仿宋"/>
          <w:sz w:val="24"/>
          <w:szCs w:val="24"/>
        </w:rPr>
        <w:t>,</w:t>
      </w:r>
      <w:r>
        <w:rPr>
          <w:rFonts w:hint="eastAsia" w:ascii="仿宋_GB2312" w:hAnsi="仿宋" w:eastAsia="仿宋_GB2312" w:cs="仿宋"/>
          <w:sz w:val="24"/>
          <w:szCs w:val="24"/>
        </w:rPr>
        <w:t>提升康复服务精准度和覆盖率</w:t>
      </w:r>
      <w:r>
        <w:rPr>
          <w:rFonts w:ascii="仿宋_GB2312" w:hAnsi="仿宋" w:eastAsia="仿宋_GB2312" w:cs="仿宋"/>
          <w:sz w:val="24"/>
          <w:szCs w:val="24"/>
        </w:rPr>
        <w:t>,</w:t>
      </w:r>
      <w:r>
        <w:rPr>
          <w:rFonts w:hint="eastAsia" w:ascii="仿宋_GB2312" w:hAnsi="仿宋" w:eastAsia="仿宋_GB2312" w:cs="仿宋"/>
          <w:sz w:val="24"/>
          <w:szCs w:val="24"/>
        </w:rPr>
        <w:t>不断满足残疾人基本康复服务需求。落实残疾儿童康复救助制度及配套政策</w:t>
      </w:r>
      <w:r>
        <w:rPr>
          <w:rFonts w:ascii="仿宋_GB2312" w:hAnsi="仿宋" w:eastAsia="仿宋_GB2312" w:cs="仿宋"/>
          <w:sz w:val="24"/>
          <w:szCs w:val="24"/>
        </w:rPr>
        <w:t>,</w:t>
      </w:r>
      <w:r>
        <w:rPr>
          <w:rFonts w:hint="eastAsia" w:ascii="仿宋_GB2312" w:hAnsi="仿宋" w:eastAsia="仿宋_GB2312" w:cs="仿宋"/>
          <w:sz w:val="24"/>
          <w:szCs w:val="24"/>
        </w:rPr>
        <w:t>进一步提高残疾儿童康复救助标准</w:t>
      </w:r>
      <w:r>
        <w:rPr>
          <w:rFonts w:ascii="仿宋_GB2312" w:hAnsi="仿宋" w:eastAsia="仿宋_GB2312" w:cs="仿宋"/>
          <w:sz w:val="24"/>
          <w:szCs w:val="24"/>
        </w:rPr>
        <w:t>,</w:t>
      </w:r>
      <w:r>
        <w:rPr>
          <w:rFonts w:hint="eastAsia" w:ascii="仿宋_GB2312" w:hAnsi="仿宋" w:eastAsia="仿宋_GB2312" w:cs="仿宋"/>
          <w:sz w:val="24"/>
          <w:szCs w:val="24"/>
        </w:rPr>
        <w:t>扩大救助范围</w:t>
      </w:r>
      <w:r>
        <w:rPr>
          <w:rFonts w:ascii="仿宋_GB2312" w:hAnsi="仿宋" w:eastAsia="仿宋_GB2312" w:cs="仿宋"/>
          <w:sz w:val="24"/>
          <w:szCs w:val="24"/>
        </w:rPr>
        <w:t>,</w:t>
      </w:r>
      <w:r>
        <w:rPr>
          <w:rFonts w:hint="eastAsia" w:ascii="仿宋_GB2312" w:hAnsi="仿宋" w:eastAsia="仿宋_GB2312" w:cs="仿宋"/>
          <w:sz w:val="24"/>
          <w:szCs w:val="24"/>
        </w:rPr>
        <w:t>提高服务质量</w:t>
      </w:r>
      <w:r>
        <w:rPr>
          <w:rFonts w:ascii="仿宋_GB2312" w:hAnsi="仿宋" w:eastAsia="仿宋_GB2312" w:cs="仿宋"/>
          <w:sz w:val="24"/>
          <w:szCs w:val="24"/>
        </w:rPr>
        <w:t>,</w:t>
      </w:r>
      <w:r>
        <w:rPr>
          <w:rFonts w:hint="eastAsia" w:ascii="仿宋_GB2312" w:hAnsi="仿宋" w:eastAsia="仿宋_GB2312" w:cs="仿宋"/>
          <w:sz w:val="24"/>
          <w:szCs w:val="24"/>
        </w:rPr>
        <w:t>确保残疾儿童</w:t>
      </w:r>
      <w:r>
        <w:rPr>
          <w:rFonts w:hint="eastAsia" w:ascii="仿宋_GB2312" w:hAnsi="仿宋" w:eastAsia="仿宋_GB2312" w:cs="仿宋"/>
          <w:sz w:val="24"/>
          <w:szCs w:val="24"/>
          <w:lang w:eastAsia="zh-CN"/>
        </w:rPr>
        <w:t>“</w:t>
      </w:r>
      <w:r>
        <w:rPr>
          <w:rFonts w:hint="eastAsia" w:ascii="仿宋_GB2312" w:hAnsi="仿宋" w:eastAsia="仿宋_GB2312" w:cs="仿宋"/>
          <w:sz w:val="24"/>
          <w:szCs w:val="24"/>
        </w:rPr>
        <w:t>应救尽救</w:t>
      </w:r>
      <w:r>
        <w:rPr>
          <w:rFonts w:hint="eastAsia" w:ascii="仿宋_GB2312" w:hAnsi="仿宋" w:eastAsia="仿宋_GB2312" w:cs="仿宋"/>
          <w:sz w:val="24"/>
          <w:szCs w:val="24"/>
          <w:lang w:eastAsia="zh-CN"/>
        </w:rPr>
        <w:t>”</w:t>
      </w:r>
      <w:r>
        <w:rPr>
          <w:rFonts w:ascii="仿宋_GB2312" w:hAnsi="仿宋" w:eastAsia="仿宋_GB2312" w:cs="仿宋"/>
          <w:sz w:val="24"/>
          <w:szCs w:val="24"/>
        </w:rPr>
        <w:t>,</w:t>
      </w:r>
      <w:r>
        <w:rPr>
          <w:rFonts w:hint="eastAsia" w:ascii="仿宋_GB2312" w:hAnsi="仿宋" w:eastAsia="仿宋_GB2312" w:cs="仿宋"/>
          <w:sz w:val="24"/>
          <w:szCs w:val="24"/>
        </w:rPr>
        <w:t>让残疾儿童得到及时有效的康复服务。加强精神卫生综合管理服务</w:t>
      </w:r>
      <w:r>
        <w:rPr>
          <w:rFonts w:ascii="仿宋_GB2312" w:hAnsi="仿宋" w:eastAsia="仿宋_GB2312" w:cs="仿宋"/>
          <w:sz w:val="24"/>
          <w:szCs w:val="24"/>
        </w:rPr>
        <w:t>,</w:t>
      </w:r>
      <w:r>
        <w:rPr>
          <w:rFonts w:hint="eastAsia" w:ascii="仿宋_GB2312" w:hAnsi="仿宋" w:eastAsia="仿宋_GB2312" w:cs="仿宋"/>
          <w:sz w:val="24"/>
          <w:szCs w:val="24"/>
        </w:rPr>
        <w:t>广泛开展精神障碍社区康复。加强定点康复机构规范化服务建设和康复专业人才培养</w:t>
      </w:r>
      <w:r>
        <w:rPr>
          <w:rFonts w:ascii="仿宋_GB2312" w:hAnsi="仿宋" w:eastAsia="仿宋_GB2312" w:cs="仿宋"/>
          <w:sz w:val="24"/>
          <w:szCs w:val="24"/>
        </w:rPr>
        <w:t>,</w:t>
      </w:r>
      <w:r>
        <w:rPr>
          <w:rFonts w:hint="eastAsia" w:ascii="仿宋_GB2312" w:hAnsi="仿宋" w:eastAsia="仿宋_GB2312" w:cs="仿宋"/>
          <w:sz w:val="24"/>
          <w:szCs w:val="24"/>
        </w:rPr>
        <w:t>提升高质量、规范化康复服务能力和水平。加强社区康复</w:t>
      </w:r>
      <w:r>
        <w:rPr>
          <w:rFonts w:ascii="仿宋_GB2312" w:hAnsi="仿宋" w:eastAsia="仿宋_GB2312" w:cs="仿宋"/>
          <w:sz w:val="24"/>
          <w:szCs w:val="24"/>
        </w:rPr>
        <w:t>,</w:t>
      </w:r>
      <w:r>
        <w:rPr>
          <w:rFonts w:hint="eastAsia" w:ascii="仿宋_GB2312" w:hAnsi="仿宋" w:eastAsia="仿宋_GB2312" w:cs="仿宋"/>
          <w:sz w:val="24"/>
          <w:szCs w:val="24"/>
        </w:rPr>
        <w:t>落实《残疾人社区康复工作标准》</w:t>
      </w:r>
      <w:r>
        <w:rPr>
          <w:rFonts w:ascii="仿宋_GB2312" w:hAnsi="仿宋" w:eastAsia="仿宋_GB2312" w:cs="仿宋"/>
          <w:sz w:val="24"/>
          <w:szCs w:val="24"/>
        </w:rPr>
        <w:t>,</w:t>
      </w:r>
      <w:r>
        <w:rPr>
          <w:rFonts w:hint="eastAsia" w:ascii="仿宋_GB2312" w:hAnsi="仿宋" w:eastAsia="仿宋_GB2312" w:cs="仿宋"/>
          <w:sz w:val="24"/>
          <w:szCs w:val="24"/>
        </w:rPr>
        <w:t>加强残疾人健康状况评估调查</w:t>
      </w:r>
      <w:r>
        <w:rPr>
          <w:rFonts w:ascii="仿宋_GB2312" w:hAnsi="仿宋" w:eastAsia="仿宋_GB2312" w:cs="仿宋"/>
          <w:sz w:val="24"/>
          <w:szCs w:val="24"/>
        </w:rPr>
        <w:t>,</w:t>
      </w:r>
      <w:r>
        <w:rPr>
          <w:rFonts w:hint="eastAsia" w:ascii="仿宋_GB2312" w:hAnsi="仿宋" w:eastAsia="仿宋_GB2312" w:cs="仿宋"/>
          <w:sz w:val="24"/>
          <w:szCs w:val="24"/>
        </w:rPr>
        <w:t>推广残疾人自助、互助康复</w:t>
      </w:r>
      <w:r>
        <w:rPr>
          <w:rFonts w:ascii="仿宋_GB2312" w:hAnsi="仿宋" w:eastAsia="仿宋_GB2312" w:cs="仿宋"/>
          <w:sz w:val="24"/>
          <w:szCs w:val="24"/>
        </w:rPr>
        <w:t>,</w:t>
      </w:r>
      <w:r>
        <w:rPr>
          <w:rFonts w:hint="eastAsia" w:ascii="仿宋_GB2312" w:hAnsi="仿宋" w:eastAsia="仿宋_GB2312" w:cs="仿宋"/>
          <w:sz w:val="24"/>
          <w:szCs w:val="24"/>
        </w:rPr>
        <w:t>促进康复服务社区化市场化发展。</w:t>
      </w:r>
      <w:r>
        <w:rPr>
          <w:rFonts w:ascii="仿宋_GB2312" w:hAnsi="仿宋" w:eastAsia="仿宋_GB2312" w:cs="仿宋"/>
          <w:sz w:val="24"/>
          <w:szCs w:val="24"/>
        </w:rPr>
        <w:t>(</w:t>
      </w:r>
      <w:r>
        <w:rPr>
          <w:rFonts w:hint="eastAsia" w:ascii="仿宋_GB2312" w:hAnsi="仿宋" w:eastAsia="仿宋_GB2312" w:cs="仿宋"/>
          <w:sz w:val="24"/>
          <w:szCs w:val="24"/>
        </w:rPr>
        <w:t>牵头</w:t>
      </w:r>
      <w:r>
        <w:rPr>
          <w:rFonts w:hint="eastAsia" w:ascii="仿宋_GB2312" w:hAnsi="仿宋" w:eastAsia="仿宋_GB2312" w:cs="仿宋"/>
          <w:sz w:val="24"/>
          <w:szCs w:val="24"/>
          <w:lang w:eastAsia="zh-CN"/>
        </w:rPr>
        <w:t>单位</w:t>
      </w:r>
      <w:r>
        <w:rPr>
          <w:rFonts w:ascii="仿宋_GB2312" w:hAnsi="仿宋" w:eastAsia="仿宋_GB2312" w:cs="仿宋"/>
          <w:sz w:val="24"/>
          <w:szCs w:val="24"/>
        </w:rPr>
        <w:t>:</w:t>
      </w:r>
      <w:r>
        <w:rPr>
          <w:rFonts w:hint="eastAsia" w:ascii="仿宋_GB2312" w:hAnsi="仿宋" w:eastAsia="仿宋_GB2312" w:cs="仿宋"/>
          <w:sz w:val="24"/>
          <w:szCs w:val="24"/>
        </w:rPr>
        <w:t>市残联</w:t>
      </w:r>
      <w:r>
        <w:rPr>
          <w:rFonts w:ascii="仿宋_GB2312" w:hAnsi="仿宋" w:eastAsia="仿宋_GB2312" w:cs="仿宋"/>
          <w:sz w:val="24"/>
          <w:szCs w:val="24"/>
        </w:rPr>
        <w:t>;</w:t>
      </w:r>
      <w:r>
        <w:rPr>
          <w:rFonts w:hint="eastAsia" w:ascii="仿宋_GB2312" w:hAnsi="仿宋" w:eastAsia="仿宋_GB2312" w:cs="仿宋"/>
          <w:sz w:val="24"/>
          <w:szCs w:val="24"/>
          <w:lang w:eastAsia="zh-CN"/>
        </w:rPr>
        <w:t>配合单位</w:t>
      </w:r>
      <w:r>
        <w:rPr>
          <w:rFonts w:ascii="仿宋_GB2312" w:hAnsi="仿宋" w:eastAsia="仿宋_GB2312" w:cs="仿宋"/>
          <w:sz w:val="24"/>
          <w:szCs w:val="24"/>
        </w:rPr>
        <w:t>:</w:t>
      </w:r>
      <w:r>
        <w:rPr>
          <w:rFonts w:hint="eastAsia" w:ascii="仿宋_GB2312" w:hAnsi="仿宋" w:eastAsia="仿宋_GB2312" w:cs="仿宋"/>
          <w:sz w:val="24"/>
          <w:szCs w:val="24"/>
        </w:rPr>
        <w:t>市委政法委、市教</w:t>
      </w:r>
      <w:r>
        <w:rPr>
          <w:rFonts w:hint="eastAsia" w:ascii="仿宋_GB2312" w:hAnsi="仿宋" w:eastAsia="仿宋_GB2312" w:cs="仿宋"/>
          <w:sz w:val="24"/>
          <w:szCs w:val="24"/>
          <w:lang w:eastAsia="zh-CN"/>
        </w:rPr>
        <w:t>科</w:t>
      </w:r>
      <w:r>
        <w:rPr>
          <w:rFonts w:hint="eastAsia" w:ascii="仿宋_GB2312" w:hAnsi="仿宋" w:eastAsia="仿宋_GB2312" w:cs="仿宋"/>
          <w:sz w:val="24"/>
          <w:szCs w:val="24"/>
        </w:rPr>
        <w:t>局、公安局、民政局、财政局、</w:t>
      </w:r>
      <w:r>
        <w:rPr>
          <w:rFonts w:hint="eastAsia" w:ascii="仿宋_GB2312" w:hAnsi="仿宋" w:eastAsia="仿宋_GB2312" w:cs="仿宋"/>
          <w:sz w:val="24"/>
          <w:szCs w:val="24"/>
          <w:lang w:eastAsia="zh-CN"/>
        </w:rPr>
        <w:t>卫生健康和体育</w:t>
      </w:r>
      <w:r>
        <w:rPr>
          <w:rFonts w:hint="eastAsia" w:ascii="仿宋_GB2312" w:hAnsi="仿宋" w:eastAsia="仿宋_GB2312" w:cs="仿宋"/>
          <w:sz w:val="24"/>
          <w:szCs w:val="24"/>
        </w:rPr>
        <w:t>局、市场监管局、市妇联</w:t>
      </w:r>
      <w:r>
        <w:rPr>
          <w:rFonts w:ascii="仿宋_GB2312" w:hAnsi="仿宋" w:eastAsia="仿宋_GB2312" w:cs="仿宋"/>
          <w:sz w:val="24"/>
          <w:szCs w:val="24"/>
        </w:rPr>
        <w:t>)</w:t>
      </w:r>
    </w:p>
    <w:p>
      <w:pPr>
        <w:pStyle w:val="42"/>
        <w:pageBreakBefore w:val="0"/>
        <w:widowControl w:val="0"/>
        <w:kinsoku/>
        <w:wordWrap/>
        <w:overflowPunct/>
        <w:topLinePunct w:val="0"/>
        <w:autoSpaceDE/>
        <w:autoSpaceDN/>
        <w:bidi w:val="0"/>
        <w:adjustRightInd/>
        <w:snapToGrid w:val="0"/>
        <w:spacing w:after="0" w:line="460" w:lineRule="exact"/>
        <w:ind w:firstLine="480" w:firstLineChars="200"/>
        <w:jc w:val="both"/>
        <w:textAlignment w:val="auto"/>
        <w:outlineLvl w:val="9"/>
        <w:rPr>
          <w:rFonts w:ascii="仿宋_GB2312" w:hAnsi="仿宋" w:eastAsia="仿宋_GB2312" w:cs="仿宋"/>
          <w:sz w:val="24"/>
          <w:szCs w:val="24"/>
        </w:rPr>
      </w:pPr>
      <w:r>
        <w:rPr>
          <w:rFonts w:hint="eastAsia" w:ascii="仿宋_GB2312" w:hAnsi="仿宋" w:eastAsia="仿宋_GB2312" w:cs="仿宋"/>
          <w:sz w:val="24"/>
          <w:szCs w:val="24"/>
        </w:rPr>
        <w:t>优化康复辅助器具服务。加强优质康复辅助器具供给能力</w:t>
      </w:r>
      <w:r>
        <w:rPr>
          <w:rFonts w:ascii="仿宋_GB2312" w:hAnsi="仿宋" w:eastAsia="仿宋_GB2312" w:cs="仿宋"/>
          <w:sz w:val="24"/>
          <w:szCs w:val="24"/>
        </w:rPr>
        <w:t>,</w:t>
      </w:r>
      <w:r>
        <w:rPr>
          <w:rFonts w:hint="eastAsia" w:ascii="仿宋_GB2312" w:hAnsi="仿宋" w:eastAsia="仿宋_GB2312" w:cs="仿宋"/>
          <w:sz w:val="24"/>
          <w:szCs w:val="24"/>
        </w:rPr>
        <w:t>推广安全适用的基本型康复辅助器具</w:t>
      </w:r>
      <w:r>
        <w:rPr>
          <w:rFonts w:ascii="仿宋_GB2312" w:hAnsi="仿宋" w:eastAsia="仿宋_GB2312" w:cs="仿宋"/>
          <w:sz w:val="24"/>
          <w:szCs w:val="24"/>
        </w:rPr>
        <w:t>,</w:t>
      </w:r>
      <w:r>
        <w:rPr>
          <w:rFonts w:hint="eastAsia" w:ascii="仿宋_GB2312" w:hAnsi="仿宋" w:eastAsia="仿宋_GB2312" w:cs="仿宋"/>
          <w:sz w:val="24"/>
          <w:szCs w:val="24"/>
        </w:rPr>
        <w:t>确保康复辅助器具服务提质升级。落实残疾人基本型辅助器具货币化补贴制度。完善康复辅助器具适配服务网络</w:t>
      </w:r>
      <w:r>
        <w:rPr>
          <w:rFonts w:ascii="仿宋_GB2312" w:hAnsi="仿宋" w:eastAsia="仿宋_GB2312" w:cs="仿宋"/>
          <w:sz w:val="24"/>
          <w:szCs w:val="24"/>
        </w:rPr>
        <w:t>,</w:t>
      </w:r>
      <w:r>
        <w:rPr>
          <w:rFonts w:hint="eastAsia" w:ascii="仿宋_GB2312" w:hAnsi="仿宋" w:eastAsia="仿宋_GB2312" w:cs="仿宋"/>
          <w:sz w:val="24"/>
          <w:szCs w:val="24"/>
        </w:rPr>
        <w:t>加强康复辅助器具适配服务机构建设。支持社会力量及医疗、康复、养老机构和残疾人教育、就业、托养机构开展康复辅助器具适配服务。鼓励社区开展康复辅助器具租赁、回收、维修等服务。加强残疾人康复辅助器具适配专业人员规范化培训。</w:t>
      </w:r>
      <w:r>
        <w:rPr>
          <w:rFonts w:ascii="仿宋_GB2312" w:hAnsi="仿宋" w:eastAsia="仿宋_GB2312" w:cs="仿宋"/>
          <w:sz w:val="24"/>
          <w:szCs w:val="24"/>
        </w:rPr>
        <w:t>(</w:t>
      </w:r>
      <w:r>
        <w:rPr>
          <w:rFonts w:hint="eastAsia" w:ascii="仿宋_GB2312" w:hAnsi="仿宋" w:eastAsia="仿宋_GB2312" w:cs="仿宋"/>
          <w:sz w:val="24"/>
          <w:szCs w:val="24"/>
        </w:rPr>
        <w:t>牵头</w:t>
      </w:r>
      <w:r>
        <w:rPr>
          <w:rFonts w:hint="eastAsia" w:ascii="仿宋_GB2312" w:hAnsi="仿宋" w:eastAsia="仿宋_GB2312" w:cs="仿宋"/>
          <w:sz w:val="24"/>
          <w:szCs w:val="24"/>
          <w:lang w:eastAsia="zh-CN"/>
        </w:rPr>
        <w:t>单位</w:t>
      </w:r>
      <w:r>
        <w:rPr>
          <w:rFonts w:ascii="仿宋_GB2312" w:hAnsi="仿宋" w:eastAsia="仿宋_GB2312" w:cs="仿宋"/>
          <w:sz w:val="24"/>
          <w:szCs w:val="24"/>
        </w:rPr>
        <w:t>:</w:t>
      </w:r>
      <w:r>
        <w:rPr>
          <w:rFonts w:hint="eastAsia" w:ascii="仿宋_GB2312" w:hAnsi="仿宋" w:eastAsia="仿宋_GB2312" w:cs="仿宋"/>
          <w:sz w:val="24"/>
          <w:szCs w:val="24"/>
        </w:rPr>
        <w:t>市民政局</w:t>
      </w:r>
      <w:r>
        <w:rPr>
          <w:rFonts w:ascii="仿宋_GB2312" w:hAnsi="仿宋" w:eastAsia="仿宋_GB2312" w:cs="仿宋"/>
          <w:sz w:val="24"/>
          <w:szCs w:val="24"/>
        </w:rPr>
        <w:t>;</w:t>
      </w:r>
      <w:r>
        <w:rPr>
          <w:rFonts w:hint="eastAsia" w:ascii="仿宋_GB2312" w:hAnsi="仿宋" w:eastAsia="仿宋_GB2312" w:cs="仿宋"/>
          <w:sz w:val="24"/>
          <w:szCs w:val="24"/>
          <w:lang w:eastAsia="zh-CN"/>
        </w:rPr>
        <w:t>配合单位</w:t>
      </w:r>
      <w:r>
        <w:rPr>
          <w:rFonts w:ascii="仿宋_GB2312" w:hAnsi="仿宋" w:eastAsia="仿宋_GB2312" w:cs="仿宋"/>
          <w:sz w:val="24"/>
          <w:szCs w:val="24"/>
        </w:rPr>
        <w:t>:</w:t>
      </w:r>
      <w:r>
        <w:rPr>
          <w:rFonts w:hint="eastAsia" w:ascii="仿宋_GB2312" w:hAnsi="仿宋" w:eastAsia="仿宋_GB2312" w:cs="仿宋"/>
          <w:sz w:val="24"/>
          <w:szCs w:val="24"/>
        </w:rPr>
        <w:t>市教科局、财政局、人社局、</w:t>
      </w:r>
      <w:r>
        <w:rPr>
          <w:rFonts w:hint="eastAsia" w:ascii="仿宋_GB2312" w:hAnsi="仿宋" w:eastAsia="仿宋_GB2312" w:cs="仿宋"/>
          <w:sz w:val="24"/>
          <w:szCs w:val="24"/>
          <w:lang w:eastAsia="zh-CN"/>
        </w:rPr>
        <w:t>卫生健康和体育</w:t>
      </w:r>
      <w:r>
        <w:rPr>
          <w:rFonts w:hint="eastAsia" w:ascii="仿宋_GB2312" w:hAnsi="仿宋" w:eastAsia="仿宋_GB2312" w:cs="仿宋"/>
          <w:sz w:val="24"/>
          <w:szCs w:val="24"/>
        </w:rPr>
        <w:t>局、市场监管局、市残联</w:t>
      </w:r>
      <w:r>
        <w:rPr>
          <w:rFonts w:ascii="仿宋_GB2312" w:hAnsi="仿宋" w:eastAsia="仿宋_GB2312" w:cs="仿宋"/>
          <w:sz w:val="24"/>
          <w:szCs w:val="24"/>
        </w:rPr>
        <w:t>)</w:t>
      </w:r>
    </w:p>
    <w:p>
      <w:pPr>
        <w:pStyle w:val="42"/>
        <w:keepNext w:val="0"/>
        <w:keepLines w:val="0"/>
        <w:pageBreakBefore w:val="0"/>
        <w:widowControl w:val="0"/>
        <w:kinsoku/>
        <w:wordWrap/>
        <w:overflowPunct/>
        <w:topLinePunct w:val="0"/>
        <w:autoSpaceDE/>
        <w:autoSpaceDN/>
        <w:bidi w:val="0"/>
        <w:adjustRightInd/>
        <w:snapToGrid w:val="0"/>
        <w:spacing w:after="0" w:line="440" w:lineRule="exact"/>
        <w:ind w:firstLine="480" w:firstLineChars="200"/>
        <w:jc w:val="both"/>
        <w:textAlignment w:val="auto"/>
        <w:outlineLvl w:val="9"/>
        <w:rPr>
          <w:rFonts w:ascii="仿宋_GB2312" w:hAnsi="仿宋" w:eastAsia="仿宋_GB2312" w:cs="仿宋"/>
          <w:sz w:val="24"/>
          <w:szCs w:val="24"/>
        </w:rPr>
      </w:pPr>
      <w:r>
        <w:rPr>
          <w:rFonts w:hint="eastAsia" w:ascii="仿宋_GB2312" w:hAnsi="仿宋" w:eastAsia="仿宋_GB2312" w:cs="仿宋"/>
          <w:sz w:val="24"/>
          <w:szCs w:val="24"/>
        </w:rPr>
        <w:t>强化残疾预防。坚持预防为主、预防与康复相结合原则，实施残疾预防行动。结合残疾预防日、预防出生缺陷日、爱眼日、爱耳日、全国防灾减灾日等节点，广泛宣传残疾预防健康知识</w:t>
      </w:r>
      <w:r>
        <w:rPr>
          <w:rFonts w:ascii="仿宋_GB2312" w:hAnsi="仿宋" w:eastAsia="仿宋_GB2312" w:cs="仿宋"/>
          <w:sz w:val="24"/>
          <w:szCs w:val="24"/>
        </w:rPr>
        <w:t>,</w:t>
      </w:r>
      <w:r>
        <w:rPr>
          <w:rFonts w:hint="eastAsia" w:ascii="仿宋_GB2312" w:hAnsi="仿宋" w:eastAsia="仿宋_GB2312" w:cs="仿宋"/>
          <w:sz w:val="24"/>
          <w:szCs w:val="24"/>
        </w:rPr>
        <w:t>推动残疾预防进网络、进社区、进家庭、进学校大力普及康复理念</w:t>
      </w:r>
      <w:r>
        <w:rPr>
          <w:rFonts w:ascii="仿宋_GB2312" w:hAnsi="仿宋" w:eastAsia="仿宋_GB2312" w:cs="仿宋"/>
          <w:sz w:val="24"/>
          <w:szCs w:val="24"/>
        </w:rPr>
        <w:t>,</w:t>
      </w:r>
      <w:r>
        <w:rPr>
          <w:rFonts w:hint="eastAsia" w:ascii="仿宋_GB2312" w:hAnsi="仿宋" w:eastAsia="仿宋_GB2312" w:cs="仿宋"/>
          <w:sz w:val="24"/>
          <w:szCs w:val="24"/>
        </w:rPr>
        <w:t>增强全人群自我防护、自主康复主动意识</w:t>
      </w:r>
      <w:r>
        <w:rPr>
          <w:rFonts w:ascii="仿宋_GB2312" w:hAnsi="仿宋" w:eastAsia="仿宋_GB2312" w:cs="仿宋"/>
          <w:sz w:val="24"/>
          <w:szCs w:val="24"/>
        </w:rPr>
        <w:t>,</w:t>
      </w:r>
      <w:r>
        <w:rPr>
          <w:rFonts w:hint="eastAsia" w:ascii="仿宋_GB2312" w:hAnsi="仿宋" w:eastAsia="仿宋_GB2312" w:cs="仿宋"/>
          <w:sz w:val="24"/>
          <w:szCs w:val="24"/>
        </w:rPr>
        <w:t>有效降低残疾发生率。加强出生缺陷综合防治</w:t>
      </w:r>
      <w:r>
        <w:rPr>
          <w:rFonts w:ascii="仿宋_GB2312" w:hAnsi="仿宋" w:eastAsia="仿宋_GB2312" w:cs="仿宋"/>
          <w:sz w:val="24"/>
          <w:szCs w:val="24"/>
        </w:rPr>
        <w:t>,</w:t>
      </w:r>
      <w:r>
        <w:rPr>
          <w:rFonts w:hint="eastAsia" w:ascii="仿宋_GB2312" w:hAnsi="仿宋" w:eastAsia="仿宋_GB2312" w:cs="仿宋"/>
          <w:sz w:val="24"/>
          <w:szCs w:val="24"/>
        </w:rPr>
        <w:t>加强婚前、孕前、孕期、新生儿期和儿童期各阶段的出生缺陷防治体系建设</w:t>
      </w:r>
      <w:r>
        <w:rPr>
          <w:rFonts w:ascii="仿宋_GB2312" w:hAnsi="仿宋" w:eastAsia="仿宋_GB2312" w:cs="仿宋"/>
          <w:sz w:val="24"/>
          <w:szCs w:val="24"/>
        </w:rPr>
        <w:t>,</w:t>
      </w:r>
      <w:r>
        <w:rPr>
          <w:rFonts w:hint="eastAsia" w:ascii="仿宋_GB2312" w:hAnsi="仿宋" w:eastAsia="仿宋_GB2312" w:cs="仿宋"/>
          <w:sz w:val="24"/>
          <w:szCs w:val="24"/>
        </w:rPr>
        <w:t>做好产前筛查、诊断</w:t>
      </w:r>
      <w:r>
        <w:rPr>
          <w:rFonts w:ascii="仿宋_GB2312" w:hAnsi="仿宋" w:eastAsia="仿宋_GB2312" w:cs="仿宋"/>
          <w:sz w:val="24"/>
          <w:szCs w:val="24"/>
        </w:rPr>
        <w:t>,</w:t>
      </w:r>
      <w:r>
        <w:rPr>
          <w:rFonts w:hint="eastAsia" w:ascii="仿宋_GB2312" w:hAnsi="仿宋" w:eastAsia="仿宋_GB2312" w:cs="仿宋"/>
          <w:sz w:val="24"/>
          <w:szCs w:val="24"/>
        </w:rPr>
        <w:t>预防和减少出生缺陷、发育障碍致残。加强妇幼保健机构能力建设</w:t>
      </w:r>
      <w:r>
        <w:rPr>
          <w:rFonts w:ascii="仿宋_GB2312" w:hAnsi="仿宋" w:eastAsia="仿宋_GB2312" w:cs="仿宋"/>
          <w:sz w:val="24"/>
          <w:szCs w:val="24"/>
        </w:rPr>
        <w:t>,</w:t>
      </w:r>
      <w:r>
        <w:rPr>
          <w:rFonts w:hint="eastAsia" w:ascii="仿宋_GB2312" w:hAnsi="仿宋" w:eastAsia="仿宋_GB2312" w:cs="仿宋"/>
          <w:sz w:val="24"/>
          <w:szCs w:val="24"/>
        </w:rPr>
        <w:t>夯实</w:t>
      </w:r>
      <w:r>
        <w:rPr>
          <w:rFonts w:hint="eastAsia" w:ascii="仿宋_GB2312" w:hAnsi="仿宋" w:eastAsia="仿宋_GB2312" w:cs="仿宋"/>
          <w:sz w:val="24"/>
          <w:szCs w:val="24"/>
          <w:lang w:eastAsia="zh-CN"/>
        </w:rPr>
        <w:t>乡（镇、街道）</w:t>
      </w:r>
      <w:r>
        <w:rPr>
          <w:rFonts w:hint="eastAsia" w:ascii="仿宋_GB2312" w:hAnsi="仿宋" w:eastAsia="仿宋_GB2312" w:cs="仿宋"/>
          <w:sz w:val="24"/>
          <w:szCs w:val="24"/>
        </w:rPr>
        <w:t>、村</w:t>
      </w:r>
      <w:r>
        <w:rPr>
          <w:rFonts w:hint="eastAsia" w:ascii="仿宋_GB2312" w:hAnsi="仿宋" w:eastAsia="仿宋_GB2312" w:cs="仿宋"/>
          <w:sz w:val="24"/>
          <w:szCs w:val="24"/>
          <w:lang w:eastAsia="zh-CN"/>
        </w:rPr>
        <w:t>（社区）</w:t>
      </w:r>
      <w:r>
        <w:rPr>
          <w:rFonts w:hint="eastAsia" w:ascii="仿宋_GB2312" w:hAnsi="仿宋" w:eastAsia="仿宋_GB2312" w:cs="仿宋"/>
          <w:sz w:val="24"/>
          <w:szCs w:val="24"/>
        </w:rPr>
        <w:t>儿童保健服务网络</w:t>
      </w:r>
      <w:r>
        <w:rPr>
          <w:rFonts w:ascii="仿宋_GB2312" w:hAnsi="仿宋" w:eastAsia="仿宋_GB2312" w:cs="仿宋"/>
          <w:sz w:val="24"/>
          <w:szCs w:val="24"/>
        </w:rPr>
        <w:t>,</w:t>
      </w:r>
      <w:r>
        <w:rPr>
          <w:rFonts w:hint="eastAsia" w:ascii="仿宋_GB2312" w:hAnsi="仿宋" w:eastAsia="仿宋_GB2312" w:cs="仿宋"/>
          <w:sz w:val="24"/>
          <w:szCs w:val="24"/>
        </w:rPr>
        <w:t>加强</w:t>
      </w:r>
      <w:r>
        <w:rPr>
          <w:rFonts w:ascii="仿宋_GB2312" w:hAnsi="仿宋" w:eastAsia="仿宋_GB2312" w:cs="仿宋"/>
          <w:sz w:val="24"/>
          <w:szCs w:val="24"/>
        </w:rPr>
        <w:t>0</w:t>
      </w:r>
      <w:r>
        <w:rPr>
          <w:rFonts w:hint="eastAsia" w:ascii="仿宋_GB2312" w:hAnsi="仿宋" w:eastAsia="仿宋_GB2312" w:cs="仿宋"/>
          <w:sz w:val="24"/>
          <w:szCs w:val="24"/>
          <w:lang w:eastAsia="zh-CN"/>
        </w:rPr>
        <w:t>—</w:t>
      </w:r>
      <w:r>
        <w:rPr>
          <w:rFonts w:ascii="仿宋_GB2312" w:hAnsi="仿宋" w:eastAsia="仿宋_GB2312" w:cs="仿宋"/>
          <w:sz w:val="24"/>
          <w:szCs w:val="24"/>
        </w:rPr>
        <w:t>6</w:t>
      </w:r>
      <w:r>
        <w:rPr>
          <w:rFonts w:hint="eastAsia" w:ascii="仿宋_GB2312" w:hAnsi="仿宋" w:eastAsia="仿宋_GB2312" w:cs="仿宋"/>
          <w:sz w:val="24"/>
          <w:szCs w:val="24"/>
        </w:rPr>
        <w:t>岁儿童残疾早期筛查</w:t>
      </w:r>
      <w:r>
        <w:rPr>
          <w:rFonts w:ascii="仿宋_GB2312" w:hAnsi="仿宋" w:eastAsia="仿宋_GB2312" w:cs="仿宋"/>
          <w:sz w:val="24"/>
          <w:szCs w:val="24"/>
        </w:rPr>
        <w:t>,</w:t>
      </w:r>
      <w:r>
        <w:rPr>
          <w:rFonts w:hint="eastAsia" w:ascii="仿宋_GB2312" w:hAnsi="仿宋" w:eastAsia="仿宋_GB2312" w:cs="仿宋"/>
          <w:sz w:val="24"/>
          <w:szCs w:val="24"/>
        </w:rPr>
        <w:t>不断提升儿童致残性疾病早发现、早诊断、早干预、早康复能力和效果。实施慢性病预防干预措施</w:t>
      </w:r>
      <w:r>
        <w:rPr>
          <w:rFonts w:ascii="仿宋_GB2312" w:hAnsi="仿宋" w:eastAsia="仿宋_GB2312" w:cs="仿宋"/>
          <w:sz w:val="24"/>
          <w:szCs w:val="24"/>
        </w:rPr>
        <w:t>,</w:t>
      </w:r>
      <w:r>
        <w:rPr>
          <w:rFonts w:hint="eastAsia" w:ascii="仿宋_GB2312" w:hAnsi="仿宋" w:eastAsia="仿宋_GB2312" w:cs="仿宋"/>
          <w:sz w:val="24"/>
          <w:szCs w:val="24"/>
        </w:rPr>
        <w:t>开展重大慢性病早诊早治，减少慢性病致残。开展社会心理服务和社区心理干预</w:t>
      </w:r>
      <w:r>
        <w:rPr>
          <w:rFonts w:ascii="仿宋_GB2312" w:hAnsi="仿宋" w:eastAsia="仿宋_GB2312" w:cs="仿宋"/>
          <w:sz w:val="24"/>
          <w:szCs w:val="24"/>
        </w:rPr>
        <w:t>,</w:t>
      </w:r>
      <w:r>
        <w:rPr>
          <w:rFonts w:hint="eastAsia" w:ascii="仿宋_GB2312" w:hAnsi="仿宋" w:eastAsia="仿宋_GB2312" w:cs="仿宋"/>
          <w:sz w:val="24"/>
          <w:szCs w:val="24"/>
        </w:rPr>
        <w:t>预防和减少精神残疾发生。开展防盲治盲、防聋治聋工作</w:t>
      </w:r>
      <w:r>
        <w:rPr>
          <w:rFonts w:ascii="仿宋_GB2312" w:hAnsi="仿宋" w:eastAsia="仿宋_GB2312" w:cs="仿宋"/>
          <w:sz w:val="24"/>
          <w:szCs w:val="24"/>
        </w:rPr>
        <w:t>,</w:t>
      </w:r>
      <w:r>
        <w:rPr>
          <w:rFonts w:hint="eastAsia" w:ascii="仿宋_GB2312" w:hAnsi="仿宋" w:eastAsia="仿宋_GB2312" w:cs="仿宋"/>
          <w:sz w:val="24"/>
          <w:szCs w:val="24"/>
        </w:rPr>
        <w:t>加强对传染病和地方病的防控。加强安全生产监管、消防安全和交通安全管理，防止老年人跌倒、儿童意外伤害致残，减少因灾害、事故、职业伤害等致残。加快公共场所急救设备配备，提高自然灾害和火灾现场应急处置力、突发事件紧急医学救援能力和院前急救能力。（</w:t>
      </w:r>
      <w:r>
        <w:rPr>
          <w:rFonts w:hint="eastAsia" w:ascii="仿宋_GB2312" w:hAnsi="仿宋" w:eastAsia="仿宋_GB2312" w:cs="仿宋"/>
          <w:sz w:val="24"/>
          <w:szCs w:val="24"/>
          <w:lang w:eastAsia="zh-CN"/>
        </w:rPr>
        <w:t>牵头</w:t>
      </w:r>
      <w:r>
        <w:rPr>
          <w:rFonts w:hint="eastAsia" w:ascii="仿宋_GB2312" w:hAnsi="仿宋" w:eastAsia="仿宋_GB2312" w:cs="仿宋"/>
          <w:sz w:val="24"/>
          <w:szCs w:val="24"/>
        </w:rPr>
        <w:t>单位：市委宣传部、市教</w:t>
      </w:r>
      <w:r>
        <w:rPr>
          <w:rFonts w:hint="eastAsia" w:ascii="仿宋_GB2312" w:hAnsi="仿宋" w:eastAsia="仿宋_GB2312" w:cs="仿宋"/>
          <w:sz w:val="24"/>
          <w:szCs w:val="24"/>
          <w:lang w:eastAsia="zh-CN"/>
        </w:rPr>
        <w:t>科</w:t>
      </w:r>
      <w:r>
        <w:rPr>
          <w:rFonts w:hint="eastAsia" w:ascii="仿宋_GB2312" w:hAnsi="仿宋" w:eastAsia="仿宋_GB2312" w:cs="仿宋"/>
          <w:sz w:val="24"/>
          <w:szCs w:val="24"/>
        </w:rPr>
        <w:t>局、公安局、民政局、人社局、交通运输局、水利局、</w:t>
      </w:r>
      <w:r>
        <w:rPr>
          <w:rFonts w:hint="eastAsia" w:ascii="仿宋_GB2312" w:hAnsi="仿宋" w:eastAsia="仿宋_GB2312" w:cs="仿宋"/>
          <w:sz w:val="24"/>
          <w:szCs w:val="24"/>
          <w:lang w:eastAsia="zh-CN"/>
        </w:rPr>
        <w:t>卫生健康和体育</w:t>
      </w:r>
      <w:r>
        <w:rPr>
          <w:rFonts w:hint="eastAsia" w:ascii="仿宋_GB2312" w:hAnsi="仿宋" w:eastAsia="仿宋_GB2312" w:cs="仿宋"/>
          <w:sz w:val="24"/>
          <w:szCs w:val="24"/>
        </w:rPr>
        <w:t>局、应急局、市融媒体中心、市总工会、团市委、市妇联、市残联）</w:t>
      </w:r>
    </w:p>
    <w:p>
      <w:pPr>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黑体" w:hAnsi="黑体" w:eastAsia="黑体" w:cs="黑体"/>
          <w:sz w:val="24"/>
          <w:szCs w:val="24"/>
        </w:rPr>
        <w:sectPr>
          <w:type w:val="continuous"/>
          <w:pgSz w:w="12240" w:h="16498"/>
          <w:pgMar w:top="1145" w:right="1389" w:bottom="1134" w:left="1389" w:header="1043" w:footer="992" w:gutter="0"/>
          <w:pgNumType w:fmt="decimal"/>
          <w:cols w:equalWidth="0" w:num="2">
            <w:col w:w="4518" w:space="425"/>
            <w:col w:w="4518"/>
          </w:cols>
          <w:rtlGutter w:val="0"/>
          <w:docGrid w:type="lines" w:linePitch="312" w:charSpace="0"/>
        </w:sectPr>
      </w:pP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494"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wordWrap/>
              <w:overflowPunct/>
              <w:topLinePunct w:val="0"/>
              <w:bidi w:val="0"/>
              <w:snapToGrid w:val="0"/>
              <w:spacing w:line="500" w:lineRule="exact"/>
              <w:jc w:val="center"/>
              <w:outlineLvl w:val="9"/>
              <w:rPr>
                <w:rFonts w:ascii="仿宋_GB2312" w:hAnsi="仿宋_GB2312" w:eastAsia="仿宋_GB2312" w:cs="仿宋_GB2312"/>
                <w:sz w:val="24"/>
                <w:szCs w:val="24"/>
              </w:rPr>
            </w:pPr>
            <w:r>
              <w:rPr>
                <w:rFonts w:hint="eastAsia" w:ascii="黑体" w:hAnsi="黑体" w:eastAsia="黑体" w:cs="黑体"/>
                <w:sz w:val="28"/>
                <w:szCs w:val="28"/>
              </w:rPr>
              <w:t>专栏</w:t>
            </w:r>
            <w:r>
              <w:rPr>
                <w:rFonts w:ascii="黑体" w:hAnsi="黑体" w:eastAsia="黑体" w:cs="黑体"/>
                <w:sz w:val="28"/>
                <w:szCs w:val="28"/>
              </w:rPr>
              <w:t>5</w:t>
            </w:r>
            <w:r>
              <w:rPr>
                <w:rFonts w:hint="eastAsia" w:ascii="黑体" w:hAnsi="黑体" w:eastAsia="黑体" w:cs="黑体"/>
                <w:sz w:val="28"/>
                <w:szCs w:val="28"/>
              </w:rPr>
              <w:t xml:space="preserve">  残疾人健康和康复重点项目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94"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仿宋_GB2312" w:hAnsi="仿宋_GB2312" w:eastAsia="仿宋_GB2312" w:cs="仿宋_GB2312"/>
                <w:sz w:val="24"/>
                <w:szCs w:val="24"/>
              </w:rPr>
            </w:pPr>
            <w:r>
              <w:rPr>
                <w:rFonts w:ascii="仿宋_GB2312" w:hAnsi="仿宋_GB2312" w:eastAsia="仿宋_GB2312" w:cs="仿宋_GB2312"/>
                <w:sz w:val="24"/>
                <w:szCs w:val="24"/>
              </w:rPr>
              <w:t>1.</w:t>
            </w:r>
            <w:r>
              <w:rPr>
                <w:rFonts w:hint="eastAsia" w:ascii="仿宋_GB2312" w:hAnsi="仿宋_GB2312" w:eastAsia="仿宋_GB2312" w:cs="仿宋_GB2312"/>
                <w:sz w:val="24"/>
                <w:szCs w:val="24"/>
              </w:rPr>
              <w:t>残疾人精准康复服务行动。开展残疾人康复需求调查评估，为有需求的残疾人提供基本康复服务，为家庭照护者提供居家康复、照护技能培训和支持服务，针对特困残疾人和残疾孤儿实施</w:t>
            </w:r>
            <w:r>
              <w:rPr>
                <w:rFonts w:hint="eastAsia" w:ascii="仿宋_GB2312" w:hAnsi="仿宋_GB2312" w:eastAsia="仿宋_GB2312" w:cs="仿宋_GB2312"/>
                <w:sz w:val="24"/>
                <w:szCs w:val="24"/>
                <w:lang w:val="zh-CN"/>
              </w:rPr>
              <w:t>“福</w:t>
            </w:r>
            <w:r>
              <w:rPr>
                <w:rFonts w:hint="eastAsia" w:ascii="仿宋_GB2312" w:hAnsi="仿宋_GB2312" w:eastAsia="仿宋_GB2312" w:cs="仿宋_GB2312"/>
                <w:sz w:val="24"/>
                <w:szCs w:val="24"/>
              </w:rPr>
              <w:t>康工程”、孤儿医疗康复明天计划等康复服务项目，接受基本康复服务的比例保持在</w:t>
            </w:r>
            <w:r>
              <w:rPr>
                <w:rFonts w:ascii="仿宋_GB2312" w:hAnsi="仿宋_GB2312" w:eastAsia="仿宋_GB2312" w:cs="仿宋_GB2312"/>
                <w:sz w:val="24"/>
                <w:szCs w:val="24"/>
              </w:rPr>
              <w:t>85%</w:t>
            </w:r>
            <w:r>
              <w:rPr>
                <w:rFonts w:hint="eastAsia" w:ascii="仿宋_GB2312" w:hAnsi="仿宋_GB2312" w:eastAsia="仿宋_GB2312" w:cs="仿宋_GB2312"/>
                <w:sz w:val="24"/>
                <w:szCs w:val="24"/>
              </w:rPr>
              <w:t>以上。</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仿宋_GB2312" w:hAnsi="仿宋_GB2312" w:eastAsia="仿宋_GB2312" w:cs="仿宋_GB2312"/>
                <w:sz w:val="24"/>
                <w:szCs w:val="24"/>
              </w:rPr>
            </w:pPr>
            <w:r>
              <w:rPr>
                <w:rFonts w:ascii="仿宋_GB2312" w:hAnsi="仿宋_GB2312" w:eastAsia="仿宋_GB2312" w:cs="仿宋_GB2312"/>
                <w:sz w:val="24"/>
                <w:szCs w:val="24"/>
              </w:rPr>
              <w:t>2.</w:t>
            </w:r>
            <w:r>
              <w:rPr>
                <w:rFonts w:hint="eastAsia" w:ascii="仿宋_GB2312" w:hAnsi="仿宋_GB2312" w:eastAsia="仿宋_GB2312" w:cs="仿宋_GB2312"/>
                <w:sz w:val="24"/>
                <w:szCs w:val="24"/>
              </w:rPr>
              <w:t>残疾儿童康复救助项目。为符合条件的残疾儿童提供手术、辅助器具适配、康复训练等服务。逐步提高残疾儿童救助标准，扩大救助年龄范围，提升残疾儿童康复质量，确保残疾儿童</w:t>
            </w:r>
            <w:r>
              <w:rPr>
                <w:rFonts w:hint="eastAsia" w:ascii="仿宋_GB2312" w:hAnsi="仿宋_GB2312" w:eastAsia="仿宋_GB2312" w:cs="仿宋_GB2312"/>
                <w:sz w:val="24"/>
                <w:szCs w:val="24"/>
                <w:lang w:val="zh-CN"/>
              </w:rPr>
              <w:t>“应</w:t>
            </w:r>
            <w:r>
              <w:rPr>
                <w:rFonts w:hint="eastAsia" w:ascii="仿宋_GB2312" w:hAnsi="仿宋_GB2312" w:eastAsia="仿宋_GB2312" w:cs="仿宋_GB2312"/>
                <w:sz w:val="24"/>
                <w:szCs w:val="24"/>
              </w:rPr>
              <w:t>救尽救”。</w:t>
            </w:r>
          </w:p>
          <w:p>
            <w:pPr>
              <w:keepNext w:val="0"/>
              <w:keepLines w:val="0"/>
              <w:pageBreakBefore w:val="0"/>
              <w:widowControl w:val="0"/>
              <w:kinsoku/>
              <w:wordWrap/>
              <w:overflowPunct/>
              <w:topLinePunct w:val="0"/>
              <w:autoSpaceDE/>
              <w:autoSpaceDN/>
              <w:bidi w:val="0"/>
              <w:adjustRightInd/>
              <w:snapToGrid w:val="0"/>
              <w:spacing w:line="440" w:lineRule="exact"/>
              <w:ind w:firstLine="504" w:firstLineChars="200"/>
              <w:textAlignment w:val="auto"/>
              <w:outlineLvl w:val="9"/>
              <w:rPr>
                <w:rFonts w:ascii="仿宋_GB2312" w:hAnsi="仿宋_GB2312" w:eastAsia="仿宋_GB2312" w:cs="仿宋_GB2312"/>
                <w:spacing w:val="6"/>
                <w:sz w:val="24"/>
                <w:szCs w:val="24"/>
              </w:rPr>
            </w:pPr>
            <w:r>
              <w:rPr>
                <w:rFonts w:ascii="仿宋_GB2312" w:hAnsi="仿宋_GB2312" w:eastAsia="仿宋_GB2312" w:cs="仿宋_GB2312"/>
                <w:spacing w:val="6"/>
                <w:sz w:val="24"/>
                <w:szCs w:val="24"/>
              </w:rPr>
              <w:t>3.</w:t>
            </w:r>
            <w:r>
              <w:rPr>
                <w:rFonts w:hint="eastAsia" w:ascii="仿宋_GB2312" w:hAnsi="仿宋_GB2312" w:eastAsia="仿宋_GB2312" w:cs="仿宋_GB2312"/>
                <w:spacing w:val="6"/>
                <w:sz w:val="24"/>
                <w:szCs w:val="24"/>
              </w:rPr>
              <w:t>精神卫生综合管理服务。开展严重精神障碍患者日常发现、登记报告、随访管理、服药指导、社区康复、心理支持和疏导等服务，为家庭照护者提供技能培训、心理支持和疏导等服务。健全精神障碍社区康复服务体系，开展精神障碍社区康复服务。</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仿宋_GB2312" w:hAnsi="仿宋_GB2312" w:eastAsia="仿宋_GB2312" w:cs="仿宋_GB2312"/>
                <w:sz w:val="24"/>
                <w:szCs w:val="24"/>
              </w:rPr>
            </w:pPr>
            <w:r>
              <w:rPr>
                <w:rFonts w:ascii="仿宋_GB2312" w:hAnsi="仿宋_GB2312" w:eastAsia="仿宋_GB2312" w:cs="仿宋_GB2312"/>
                <w:sz w:val="24"/>
                <w:szCs w:val="24"/>
              </w:rPr>
              <w:t>4.</w:t>
            </w:r>
            <w:r>
              <w:rPr>
                <w:rFonts w:hint="eastAsia" w:ascii="仿宋_GB2312" w:hAnsi="仿宋_GB2312" w:eastAsia="仿宋_GB2312" w:cs="仿宋_GB2312"/>
                <w:sz w:val="24"/>
                <w:szCs w:val="24"/>
              </w:rPr>
              <w:t>残疾人互助康复项目。推广脊髓损伤者</w:t>
            </w:r>
            <w:r>
              <w:rPr>
                <w:rFonts w:hint="eastAsia" w:ascii="仿宋_GB2312" w:hAnsi="仿宋_GB2312" w:eastAsia="仿宋_GB2312" w:cs="仿宋_GB2312"/>
                <w:sz w:val="24"/>
                <w:szCs w:val="24"/>
                <w:lang w:val="zh-CN"/>
              </w:rPr>
              <w:t>“希望</w:t>
            </w:r>
            <w:r>
              <w:rPr>
                <w:rFonts w:hint="eastAsia" w:ascii="仿宋_GB2312" w:hAnsi="仿宋_GB2312" w:eastAsia="仿宋_GB2312" w:cs="仿宋_GB2312"/>
                <w:sz w:val="24"/>
                <w:szCs w:val="24"/>
              </w:rPr>
              <w:t>之家”残疾人自助、互助康复项目。</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9"/>
              <w:rPr>
                <w:rFonts w:ascii="仿宋_GB2312" w:hAnsi="仿宋_GB2312" w:eastAsia="仿宋_GB2312" w:cs="仿宋_GB2312"/>
                <w:sz w:val="24"/>
                <w:szCs w:val="24"/>
              </w:rPr>
            </w:pPr>
            <w:r>
              <w:rPr>
                <w:rFonts w:ascii="仿宋_GB2312" w:hAnsi="仿宋_GB2312" w:eastAsia="仿宋_GB2312" w:cs="仿宋_GB2312"/>
                <w:sz w:val="24"/>
                <w:szCs w:val="24"/>
              </w:rPr>
              <w:t>5.</w:t>
            </w:r>
            <w:r>
              <w:rPr>
                <w:rFonts w:hint="eastAsia" w:ascii="仿宋_GB2312" w:hAnsi="仿宋_GB2312" w:eastAsia="仿宋_GB2312" w:cs="仿宋_GB2312"/>
                <w:sz w:val="24"/>
                <w:szCs w:val="24"/>
              </w:rPr>
              <w:t>康复专业人才培养项目。加强康复人才教育培养，推进康复专业人员规范化培训。加强全科医生和家庭医生签约团队培训，提升专业康复医疗的服务能力和水平。</w:t>
            </w:r>
          </w:p>
        </w:tc>
      </w:tr>
    </w:tbl>
    <w:p>
      <w:pPr>
        <w:pStyle w:val="42"/>
        <w:pageBreakBefore w:val="0"/>
        <w:widowControl w:val="0"/>
        <w:wordWrap/>
        <w:overflowPunct/>
        <w:topLinePunct w:val="0"/>
        <w:bidi w:val="0"/>
        <w:snapToGrid w:val="0"/>
        <w:spacing w:after="0" w:line="500" w:lineRule="exact"/>
        <w:ind w:firstLine="480" w:firstLineChars="200"/>
        <w:jc w:val="both"/>
        <w:outlineLvl w:val="9"/>
        <w:rPr>
          <w:rFonts w:hint="eastAsia" w:ascii="仿宋_GB2312" w:hAnsi="仿宋" w:eastAsia="仿宋_GB2312" w:cs="仿宋"/>
          <w:sz w:val="24"/>
          <w:szCs w:val="24"/>
        </w:rPr>
        <w:sectPr>
          <w:type w:val="continuous"/>
          <w:pgSz w:w="12240" w:h="16498"/>
          <w:pgMar w:top="1145" w:right="1389" w:bottom="1134" w:left="1389" w:header="1043" w:footer="992" w:gutter="0"/>
          <w:pgNumType w:fmt="decimal"/>
          <w:cols w:space="425" w:num="1"/>
          <w:rtlGutter w:val="0"/>
          <w:docGrid w:type="lines" w:linePitch="312" w:charSpace="0"/>
        </w:sectPr>
      </w:pPr>
    </w:p>
    <w:p>
      <w:pPr>
        <w:pStyle w:val="42"/>
        <w:keepNext w:val="0"/>
        <w:keepLines w:val="0"/>
        <w:pageBreakBefore w:val="0"/>
        <w:widowControl w:val="0"/>
        <w:kinsoku/>
        <w:wordWrap/>
        <w:overflowPunct/>
        <w:topLinePunct w:val="0"/>
        <w:autoSpaceDE/>
        <w:autoSpaceDN/>
        <w:bidi w:val="0"/>
        <w:adjustRightInd/>
        <w:snapToGrid w:val="0"/>
        <w:spacing w:after="0" w:line="440" w:lineRule="exact"/>
        <w:ind w:firstLine="480" w:firstLineChars="200"/>
        <w:jc w:val="both"/>
        <w:textAlignment w:val="auto"/>
        <w:outlineLvl w:val="9"/>
        <w:rPr>
          <w:rFonts w:ascii="仿宋_GB2312" w:hAnsi="仿宋" w:eastAsia="仿宋_GB2312" w:cs="仿宋"/>
          <w:sz w:val="24"/>
          <w:szCs w:val="24"/>
        </w:rPr>
      </w:pPr>
      <w:r>
        <w:rPr>
          <w:rFonts w:hint="eastAsia" w:ascii="仿宋_GB2312" w:hAnsi="仿宋" w:eastAsia="仿宋_GB2312" w:cs="仿宋"/>
          <w:sz w:val="24"/>
          <w:szCs w:val="24"/>
        </w:rPr>
        <w:t>促进残疾人特殊教育体系建设。全面贯彻党的教育方针</w:t>
      </w:r>
      <w:r>
        <w:rPr>
          <w:rFonts w:ascii="仿宋_GB2312" w:hAnsi="仿宋" w:eastAsia="仿宋_GB2312" w:cs="仿宋"/>
          <w:sz w:val="24"/>
          <w:szCs w:val="24"/>
        </w:rPr>
        <w:t>,</w:t>
      </w:r>
      <w:r>
        <w:rPr>
          <w:rFonts w:hint="eastAsia" w:ascii="仿宋_GB2312" w:hAnsi="仿宋" w:eastAsia="仿宋_GB2312" w:cs="仿宋"/>
          <w:sz w:val="24"/>
          <w:szCs w:val="24"/>
        </w:rPr>
        <w:t>落实立德树人根本任务</w:t>
      </w:r>
      <w:r>
        <w:rPr>
          <w:rFonts w:ascii="仿宋_GB2312" w:hAnsi="仿宋" w:eastAsia="仿宋_GB2312" w:cs="仿宋"/>
          <w:sz w:val="24"/>
          <w:szCs w:val="24"/>
        </w:rPr>
        <w:t>,</w:t>
      </w:r>
      <w:r>
        <w:rPr>
          <w:rFonts w:hint="eastAsia" w:ascii="仿宋_GB2312" w:hAnsi="仿宋" w:eastAsia="仿宋_GB2312" w:cs="仿宋"/>
          <w:sz w:val="24"/>
          <w:szCs w:val="24"/>
        </w:rPr>
        <w:t>以适宜融合为目标办好特殊教育。制定落实《原平市“十四五”特殊教育发展提升行动计划》</w:t>
      </w:r>
      <w:r>
        <w:rPr>
          <w:rFonts w:ascii="仿宋_GB2312" w:hAnsi="仿宋" w:eastAsia="仿宋_GB2312" w:cs="仿宋"/>
          <w:sz w:val="24"/>
          <w:szCs w:val="24"/>
        </w:rPr>
        <w:t>,</w:t>
      </w:r>
      <w:r>
        <w:rPr>
          <w:rFonts w:hint="eastAsia" w:ascii="仿宋_GB2312" w:hAnsi="仿宋" w:eastAsia="仿宋_GB2312" w:cs="仿宋"/>
          <w:sz w:val="24"/>
          <w:szCs w:val="24"/>
        </w:rPr>
        <w:t>完善特殊教育体系建设</w:t>
      </w:r>
      <w:r>
        <w:rPr>
          <w:rFonts w:ascii="仿宋_GB2312" w:hAnsi="仿宋" w:eastAsia="仿宋_GB2312" w:cs="仿宋"/>
          <w:sz w:val="24"/>
          <w:szCs w:val="24"/>
        </w:rPr>
        <w:t>,</w:t>
      </w:r>
      <w:r>
        <w:rPr>
          <w:rFonts w:hint="eastAsia" w:ascii="仿宋_GB2312" w:hAnsi="仿宋" w:eastAsia="仿宋_GB2312" w:cs="仿宋"/>
          <w:sz w:val="24"/>
          <w:szCs w:val="24"/>
        </w:rPr>
        <w:t>做好控辍保学工作</w:t>
      </w:r>
      <w:r>
        <w:rPr>
          <w:rFonts w:ascii="仿宋_GB2312" w:hAnsi="仿宋" w:eastAsia="仿宋_GB2312" w:cs="仿宋"/>
          <w:sz w:val="24"/>
          <w:szCs w:val="24"/>
        </w:rPr>
        <w:t>,</w:t>
      </w:r>
      <w:r>
        <w:rPr>
          <w:rFonts w:hint="eastAsia" w:ascii="仿宋_GB2312" w:hAnsi="仿宋" w:eastAsia="仿宋_GB2312" w:cs="仿宋"/>
          <w:sz w:val="24"/>
          <w:szCs w:val="24"/>
        </w:rPr>
        <w:t>提高特殊教育质量。发挥残疾人教育专家委员会作用</w:t>
      </w:r>
      <w:r>
        <w:rPr>
          <w:rFonts w:ascii="仿宋_GB2312" w:hAnsi="仿宋" w:eastAsia="仿宋_GB2312" w:cs="仿宋"/>
          <w:sz w:val="24"/>
          <w:szCs w:val="24"/>
        </w:rPr>
        <w:t>,</w:t>
      </w:r>
      <w:r>
        <w:rPr>
          <w:rFonts w:hint="eastAsia" w:ascii="仿宋_GB2312" w:hAnsi="仿宋" w:eastAsia="仿宋_GB2312" w:cs="仿宋"/>
          <w:sz w:val="24"/>
          <w:szCs w:val="24"/>
        </w:rPr>
        <w:t>规范评价残疾儿童接受教育能力</w:t>
      </w:r>
      <w:r>
        <w:rPr>
          <w:rFonts w:ascii="仿宋_GB2312" w:hAnsi="仿宋" w:eastAsia="仿宋_GB2312" w:cs="仿宋"/>
          <w:sz w:val="24"/>
          <w:szCs w:val="24"/>
        </w:rPr>
        <w:t>,</w:t>
      </w:r>
      <w:r>
        <w:rPr>
          <w:rFonts w:hint="eastAsia" w:ascii="仿宋_GB2312" w:hAnsi="仿宋" w:eastAsia="仿宋_GB2312" w:cs="仿宋"/>
          <w:sz w:val="24"/>
          <w:szCs w:val="24"/>
        </w:rPr>
        <w:t>落实适龄残疾儿童少年“一人一案”科学教育安置</w:t>
      </w:r>
      <w:r>
        <w:rPr>
          <w:rFonts w:ascii="仿宋_GB2312" w:hAnsi="仿宋" w:eastAsia="仿宋_GB2312" w:cs="仿宋"/>
          <w:sz w:val="24"/>
          <w:szCs w:val="24"/>
        </w:rPr>
        <w:t>,</w:t>
      </w:r>
      <w:r>
        <w:rPr>
          <w:rFonts w:hint="eastAsia" w:ascii="仿宋_GB2312" w:hAnsi="仿宋" w:eastAsia="仿宋_GB2312" w:cs="仿宋"/>
          <w:sz w:val="24"/>
          <w:szCs w:val="24"/>
        </w:rPr>
        <w:t>规范送教上门</w:t>
      </w:r>
      <w:r>
        <w:rPr>
          <w:rFonts w:ascii="仿宋_GB2312" w:hAnsi="仿宋" w:eastAsia="仿宋_GB2312" w:cs="仿宋"/>
          <w:sz w:val="24"/>
          <w:szCs w:val="24"/>
        </w:rPr>
        <w:t>,</w:t>
      </w:r>
      <w:r>
        <w:rPr>
          <w:rFonts w:hint="eastAsia" w:ascii="仿宋_GB2312" w:hAnsi="仿宋" w:eastAsia="仿宋_GB2312" w:cs="仿宋"/>
          <w:sz w:val="24"/>
          <w:szCs w:val="24"/>
        </w:rPr>
        <w:t>巩固提升残疾儿童义务教育入学率。支持普通幼儿园接收残疾儿童</w:t>
      </w:r>
      <w:r>
        <w:rPr>
          <w:rFonts w:ascii="仿宋_GB2312" w:hAnsi="仿宋" w:eastAsia="仿宋_GB2312" w:cs="仿宋"/>
          <w:sz w:val="24"/>
          <w:szCs w:val="24"/>
        </w:rPr>
        <w:t>,</w:t>
      </w:r>
      <w:r>
        <w:rPr>
          <w:rFonts w:hint="eastAsia" w:ascii="仿宋_GB2312" w:hAnsi="仿宋" w:eastAsia="仿宋_GB2312" w:cs="仿宋"/>
          <w:sz w:val="24"/>
          <w:szCs w:val="24"/>
        </w:rPr>
        <w:t>健全普通学校随班就读支持保障体系。加快发展以职业教育为重点的残疾人高中阶段特殊教育</w:t>
      </w:r>
      <w:r>
        <w:rPr>
          <w:rFonts w:ascii="仿宋_GB2312" w:hAnsi="仿宋" w:eastAsia="仿宋_GB2312" w:cs="仿宋"/>
          <w:sz w:val="24"/>
          <w:szCs w:val="24"/>
        </w:rPr>
        <w:t>,</w:t>
      </w:r>
      <w:r>
        <w:rPr>
          <w:rFonts w:hint="eastAsia" w:ascii="仿宋_GB2312" w:hAnsi="仿宋" w:eastAsia="仿宋_GB2312" w:cs="仿宋"/>
          <w:sz w:val="24"/>
          <w:szCs w:val="24"/>
        </w:rPr>
        <w:t>支持普通中等职业学校和普通高中接收残疾学生随班就读。为残疾学生参加国家教育考试和部分职业考试提供合理便利。</w:t>
      </w:r>
      <w:r>
        <w:rPr>
          <w:rFonts w:ascii="仿宋_GB2312" w:hAnsi="仿宋" w:eastAsia="仿宋_GB2312" w:cs="仿宋"/>
          <w:sz w:val="24"/>
          <w:szCs w:val="24"/>
        </w:rPr>
        <w:t>(</w:t>
      </w:r>
      <w:r>
        <w:rPr>
          <w:rFonts w:hint="eastAsia" w:ascii="仿宋_GB2312" w:hAnsi="仿宋" w:eastAsia="仿宋_GB2312" w:cs="仿宋"/>
          <w:sz w:val="24"/>
          <w:szCs w:val="24"/>
        </w:rPr>
        <w:t>牵头单位：市教</w:t>
      </w:r>
      <w:r>
        <w:rPr>
          <w:rFonts w:hint="eastAsia" w:ascii="仿宋_GB2312" w:hAnsi="仿宋" w:eastAsia="仿宋_GB2312" w:cs="仿宋"/>
          <w:sz w:val="24"/>
          <w:szCs w:val="24"/>
          <w:lang w:eastAsia="zh-CN"/>
        </w:rPr>
        <w:t>科</w:t>
      </w:r>
      <w:r>
        <w:rPr>
          <w:rFonts w:hint="eastAsia" w:ascii="仿宋_GB2312" w:hAnsi="仿宋" w:eastAsia="仿宋_GB2312" w:cs="仿宋"/>
          <w:sz w:val="24"/>
          <w:szCs w:val="24"/>
        </w:rPr>
        <w:t>局</w:t>
      </w:r>
      <w:r>
        <w:rPr>
          <w:rFonts w:ascii="仿宋_GB2312" w:hAnsi="仿宋" w:eastAsia="仿宋_GB2312" w:cs="仿宋"/>
          <w:sz w:val="24"/>
          <w:szCs w:val="24"/>
        </w:rPr>
        <w:t>;</w:t>
      </w:r>
      <w:r>
        <w:rPr>
          <w:rFonts w:hint="eastAsia" w:ascii="仿宋_GB2312" w:hAnsi="仿宋" w:eastAsia="仿宋_GB2312" w:cs="仿宋"/>
          <w:sz w:val="24"/>
          <w:szCs w:val="24"/>
        </w:rPr>
        <w:t>配合单位：市残联</w:t>
      </w:r>
      <w:r>
        <w:rPr>
          <w:rFonts w:ascii="仿宋_GB2312" w:hAnsi="仿宋" w:eastAsia="仿宋_GB2312" w:cs="仿宋"/>
          <w:sz w:val="24"/>
          <w:szCs w:val="24"/>
        </w:rPr>
        <w:t>)</w:t>
      </w:r>
    </w:p>
    <w:p>
      <w:pPr>
        <w:pStyle w:val="42"/>
        <w:keepNext w:val="0"/>
        <w:keepLines w:val="0"/>
        <w:pageBreakBefore w:val="0"/>
        <w:widowControl w:val="0"/>
        <w:kinsoku/>
        <w:wordWrap/>
        <w:overflowPunct/>
        <w:topLinePunct w:val="0"/>
        <w:autoSpaceDE/>
        <w:autoSpaceDN/>
        <w:bidi w:val="0"/>
        <w:adjustRightInd/>
        <w:snapToGrid w:val="0"/>
        <w:spacing w:after="0" w:line="440" w:lineRule="exact"/>
        <w:ind w:firstLine="480" w:firstLineChars="200"/>
        <w:jc w:val="both"/>
        <w:textAlignment w:val="auto"/>
        <w:outlineLvl w:val="9"/>
        <w:rPr>
          <w:rFonts w:ascii="仿宋_GB2312" w:hAnsi="仿宋" w:eastAsia="仿宋_GB2312" w:cs="仿宋"/>
          <w:sz w:val="24"/>
          <w:szCs w:val="24"/>
        </w:rPr>
      </w:pPr>
      <w:r>
        <w:rPr>
          <w:rFonts w:hint="eastAsia" w:ascii="仿宋_GB2312" w:hAnsi="仿宋" w:eastAsia="仿宋_GB2312" w:cs="仿宋"/>
          <w:sz w:val="24"/>
          <w:szCs w:val="24"/>
        </w:rPr>
        <w:t>支持和保障特殊教育健康发展。因地制宜合理配置特殊教育资源。支持符合条件的儿童福利机构、残疾儿童康复机构增设学前部或附设幼儿园。加强特殊教育学校规范化建设</w:t>
      </w:r>
      <w:r>
        <w:rPr>
          <w:rFonts w:ascii="仿宋_GB2312" w:hAnsi="仿宋" w:eastAsia="仿宋_GB2312" w:cs="仿宋"/>
          <w:sz w:val="24"/>
          <w:szCs w:val="24"/>
        </w:rPr>
        <w:t>,</w:t>
      </w:r>
      <w:r>
        <w:rPr>
          <w:rFonts w:hint="eastAsia" w:ascii="仿宋_GB2312" w:hAnsi="仿宋" w:eastAsia="仿宋_GB2312" w:cs="仿宋"/>
          <w:sz w:val="24"/>
          <w:szCs w:val="24"/>
        </w:rPr>
        <w:t>改善学校办学条件</w:t>
      </w:r>
      <w:r>
        <w:rPr>
          <w:rFonts w:ascii="仿宋_GB2312" w:hAnsi="仿宋" w:eastAsia="仿宋_GB2312" w:cs="仿宋"/>
          <w:sz w:val="24"/>
          <w:szCs w:val="24"/>
        </w:rPr>
        <w:t>,</w:t>
      </w:r>
      <w:r>
        <w:rPr>
          <w:rFonts w:hint="eastAsia" w:ascii="仿宋_GB2312" w:hAnsi="仿宋" w:eastAsia="仿宋_GB2312" w:cs="仿宋"/>
          <w:sz w:val="24"/>
          <w:szCs w:val="24"/>
        </w:rPr>
        <w:t>推进无障碍环境建设。加强特殊教育师资队伍建设</w:t>
      </w:r>
      <w:r>
        <w:rPr>
          <w:rFonts w:ascii="仿宋_GB2312" w:hAnsi="仿宋" w:eastAsia="仿宋_GB2312" w:cs="仿宋"/>
          <w:sz w:val="24"/>
          <w:szCs w:val="24"/>
        </w:rPr>
        <w:t>,</w:t>
      </w:r>
      <w:r>
        <w:rPr>
          <w:rFonts w:hint="eastAsia" w:ascii="仿宋_GB2312" w:hAnsi="仿宋" w:eastAsia="仿宋_GB2312" w:cs="仿宋"/>
          <w:sz w:val="24"/>
          <w:szCs w:val="24"/>
        </w:rPr>
        <w:t>把特殊教育教师培训纳入教师培训项目</w:t>
      </w:r>
      <w:r>
        <w:rPr>
          <w:rFonts w:ascii="仿宋_GB2312" w:hAnsi="仿宋" w:eastAsia="仿宋_GB2312" w:cs="仿宋"/>
          <w:sz w:val="24"/>
          <w:szCs w:val="24"/>
        </w:rPr>
        <w:t>,</w:t>
      </w:r>
      <w:r>
        <w:rPr>
          <w:rFonts w:hint="eastAsia" w:ascii="仿宋_GB2312" w:hAnsi="仿宋" w:eastAsia="仿宋_GB2312" w:cs="仿宋"/>
          <w:sz w:val="24"/>
          <w:szCs w:val="24"/>
        </w:rPr>
        <w:t>创新培养方式</w:t>
      </w:r>
      <w:r>
        <w:rPr>
          <w:rFonts w:ascii="仿宋_GB2312" w:hAnsi="仿宋" w:eastAsia="仿宋_GB2312" w:cs="仿宋"/>
          <w:sz w:val="24"/>
          <w:szCs w:val="24"/>
        </w:rPr>
        <w:t>,</w:t>
      </w:r>
      <w:r>
        <w:rPr>
          <w:rFonts w:hint="eastAsia" w:ascii="仿宋_GB2312" w:hAnsi="仿宋" w:eastAsia="仿宋_GB2312" w:cs="仿宋"/>
          <w:sz w:val="24"/>
          <w:szCs w:val="24"/>
        </w:rPr>
        <w:t>不断提升教书育人能力素质。将特殊教育相关指标纳入义务教育优质均衡发展督导评估指标</w:t>
      </w:r>
      <w:r>
        <w:rPr>
          <w:rFonts w:ascii="仿宋_GB2312" w:hAnsi="仿宋" w:eastAsia="仿宋_GB2312" w:cs="仿宋"/>
          <w:sz w:val="24"/>
          <w:szCs w:val="24"/>
        </w:rPr>
        <w:t>,</w:t>
      </w:r>
      <w:r>
        <w:rPr>
          <w:rFonts w:hint="eastAsia" w:ascii="仿宋_GB2312" w:hAnsi="仿宋" w:eastAsia="仿宋_GB2312" w:cs="仿宋"/>
          <w:sz w:val="24"/>
          <w:szCs w:val="24"/>
        </w:rPr>
        <w:t>督促落实特殊教育政策。制定实施《原平市“十四五”国家手语和盲文规范化行动实施方案》</w:t>
      </w:r>
      <w:r>
        <w:rPr>
          <w:rFonts w:ascii="仿宋_GB2312" w:hAnsi="仿宋" w:eastAsia="仿宋_GB2312" w:cs="仿宋"/>
          <w:sz w:val="24"/>
          <w:szCs w:val="24"/>
        </w:rPr>
        <w:t>,</w:t>
      </w:r>
      <w:r>
        <w:rPr>
          <w:rFonts w:hint="eastAsia" w:ascii="仿宋_GB2312" w:hAnsi="仿宋" w:eastAsia="仿宋_GB2312" w:cs="仿宋"/>
          <w:sz w:val="24"/>
          <w:szCs w:val="24"/>
        </w:rPr>
        <w:t>加快推广国家通用手语和国家通用盲文。</w:t>
      </w:r>
      <w:r>
        <w:rPr>
          <w:rFonts w:ascii="仿宋_GB2312" w:hAnsi="仿宋" w:eastAsia="仿宋_GB2312" w:cs="仿宋"/>
          <w:sz w:val="24"/>
          <w:szCs w:val="24"/>
        </w:rPr>
        <w:t>(</w:t>
      </w:r>
      <w:r>
        <w:rPr>
          <w:rFonts w:hint="eastAsia" w:ascii="仿宋_GB2312" w:hAnsi="仿宋" w:eastAsia="仿宋_GB2312" w:cs="仿宋"/>
          <w:sz w:val="24"/>
          <w:szCs w:val="24"/>
        </w:rPr>
        <w:t>牵头单位</w:t>
      </w:r>
      <w:r>
        <w:rPr>
          <w:rFonts w:ascii="仿宋_GB2312" w:hAnsi="仿宋" w:eastAsia="仿宋_GB2312" w:cs="仿宋"/>
          <w:sz w:val="24"/>
          <w:szCs w:val="24"/>
        </w:rPr>
        <w:t>:</w:t>
      </w:r>
      <w:r>
        <w:rPr>
          <w:rFonts w:hint="eastAsia" w:ascii="仿宋_GB2312" w:hAnsi="仿宋" w:eastAsia="仿宋_GB2312" w:cs="仿宋"/>
          <w:sz w:val="24"/>
          <w:szCs w:val="24"/>
        </w:rPr>
        <w:t>市教科局</w:t>
      </w:r>
      <w:r>
        <w:rPr>
          <w:rFonts w:ascii="仿宋_GB2312" w:hAnsi="仿宋" w:eastAsia="仿宋_GB2312" w:cs="仿宋"/>
          <w:sz w:val="24"/>
          <w:szCs w:val="24"/>
        </w:rPr>
        <w:t>;</w:t>
      </w:r>
      <w:r>
        <w:rPr>
          <w:rFonts w:hint="eastAsia" w:ascii="仿宋_GB2312" w:hAnsi="仿宋" w:eastAsia="仿宋_GB2312" w:cs="仿宋"/>
          <w:sz w:val="24"/>
          <w:szCs w:val="24"/>
          <w:lang w:eastAsia="zh-CN"/>
        </w:rPr>
        <w:t>配合</w:t>
      </w:r>
      <w:r>
        <w:rPr>
          <w:rFonts w:hint="eastAsia" w:ascii="仿宋_GB2312" w:hAnsi="仿宋" w:eastAsia="仿宋_GB2312" w:cs="仿宋"/>
          <w:sz w:val="24"/>
          <w:szCs w:val="24"/>
        </w:rPr>
        <w:t>单位</w:t>
      </w:r>
      <w:r>
        <w:rPr>
          <w:rFonts w:ascii="仿宋_GB2312" w:hAnsi="仿宋" w:eastAsia="仿宋_GB2312" w:cs="仿宋"/>
          <w:sz w:val="24"/>
          <w:szCs w:val="24"/>
        </w:rPr>
        <w:t>:</w:t>
      </w:r>
      <w:r>
        <w:rPr>
          <w:rFonts w:hint="eastAsia" w:ascii="仿宋_GB2312" w:hAnsi="仿宋" w:eastAsia="仿宋_GB2312" w:cs="仿宋"/>
          <w:sz w:val="24"/>
          <w:szCs w:val="24"/>
        </w:rPr>
        <w:t>市残联</w:t>
      </w:r>
      <w:r>
        <w:rPr>
          <w:rFonts w:ascii="仿宋_GB2312" w:hAnsi="仿宋" w:eastAsia="仿宋_GB2312" w:cs="仿宋"/>
          <w:sz w:val="24"/>
          <w:szCs w:val="24"/>
        </w:rPr>
        <w:t>)</w:t>
      </w:r>
    </w:p>
    <w:p>
      <w:pPr>
        <w:pageBreakBefore w:val="0"/>
        <w:widowControl w:val="0"/>
        <w:wordWrap/>
        <w:overflowPunct/>
        <w:topLinePunct w:val="0"/>
        <w:bidi w:val="0"/>
        <w:snapToGrid w:val="0"/>
        <w:spacing w:line="500" w:lineRule="exact"/>
        <w:jc w:val="center"/>
        <w:outlineLvl w:val="9"/>
        <w:rPr>
          <w:rFonts w:hint="eastAsia" w:ascii="黑体" w:hAnsi="黑体" w:eastAsia="黑体" w:cs="黑体"/>
          <w:sz w:val="24"/>
          <w:szCs w:val="24"/>
        </w:rPr>
        <w:sectPr>
          <w:type w:val="continuous"/>
          <w:pgSz w:w="12240" w:h="16498"/>
          <w:pgMar w:top="1145" w:right="1389" w:bottom="1134" w:left="1389" w:header="1043" w:footer="992" w:gutter="0"/>
          <w:pgNumType w:fmt="decimal"/>
          <w:cols w:equalWidth="0" w:num="2">
            <w:col w:w="4518" w:space="425"/>
            <w:col w:w="4518"/>
          </w:cols>
          <w:rtlGutter w:val="0"/>
          <w:docGrid w:type="lines" w:linePitch="312" w:charSpace="0"/>
        </w:sectPr>
      </w:pPr>
    </w:p>
    <w:tbl>
      <w:tblPr>
        <w:tblStyle w:val="18"/>
        <w:tblW w:w="486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5000" w:type="pct"/>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wordWrap/>
              <w:overflowPunct/>
              <w:topLinePunct w:val="0"/>
              <w:bidi w:val="0"/>
              <w:snapToGrid w:val="0"/>
              <w:spacing w:line="500" w:lineRule="exact"/>
              <w:jc w:val="center"/>
              <w:outlineLvl w:val="9"/>
              <w:rPr>
                <w:rFonts w:ascii="仿宋_GB2312" w:hAnsi="仿宋_GB2312" w:eastAsia="仿宋_GB2312" w:cs="仿宋_GB2312"/>
                <w:sz w:val="24"/>
                <w:szCs w:val="24"/>
              </w:rPr>
            </w:pPr>
            <w:r>
              <w:rPr>
                <w:rFonts w:hint="eastAsia" w:ascii="黑体" w:hAnsi="黑体" w:eastAsia="黑体" w:cs="黑体"/>
                <w:sz w:val="28"/>
                <w:szCs w:val="28"/>
              </w:rPr>
              <w:t>专栏</w:t>
            </w:r>
            <w:r>
              <w:rPr>
                <w:rFonts w:ascii="黑体" w:hAnsi="黑体" w:eastAsia="黑体" w:cs="黑体"/>
                <w:sz w:val="28"/>
                <w:szCs w:val="28"/>
                <w:lang w:val="zh-CN"/>
              </w:rPr>
              <w:t>6</w:t>
            </w:r>
            <w:r>
              <w:rPr>
                <w:rFonts w:hint="eastAsia" w:ascii="黑体" w:hAnsi="黑体" w:eastAsia="黑体" w:cs="黑体"/>
                <w:sz w:val="28"/>
                <w:szCs w:val="28"/>
                <w:lang w:val="zh-CN"/>
              </w:rPr>
              <w:t xml:space="preserve">  </w:t>
            </w:r>
            <w:r>
              <w:rPr>
                <w:rFonts w:hint="eastAsia" w:ascii="黑体" w:hAnsi="黑体" w:eastAsia="黑体" w:cs="黑体"/>
                <w:sz w:val="28"/>
                <w:szCs w:val="28"/>
              </w:rPr>
              <w:t>残疾人教育重点项目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val="0"/>
              <w:spacing w:line="420" w:lineRule="exact"/>
              <w:ind w:firstLine="480" w:firstLineChars="200"/>
              <w:textAlignment w:val="auto"/>
              <w:outlineLvl w:val="9"/>
              <w:rPr>
                <w:rFonts w:ascii="仿宋_GB2312" w:hAnsi="仿宋_GB2312" w:eastAsia="仿宋_GB2312" w:cs="仿宋_GB2312"/>
                <w:spacing w:val="0"/>
                <w:sz w:val="24"/>
                <w:szCs w:val="24"/>
              </w:rPr>
            </w:pPr>
            <w:r>
              <w:rPr>
                <w:rFonts w:ascii="仿宋_GB2312" w:hAnsi="仿宋_GB2312" w:eastAsia="仿宋_GB2312" w:cs="仿宋_GB2312"/>
                <w:spacing w:val="0"/>
                <w:sz w:val="24"/>
                <w:szCs w:val="24"/>
              </w:rPr>
              <w:t>1.</w:t>
            </w:r>
            <w:r>
              <w:rPr>
                <w:rFonts w:hint="eastAsia" w:ascii="仿宋_GB2312" w:hAnsi="仿宋_GB2312" w:eastAsia="仿宋_GB2312" w:cs="仿宋_GB2312"/>
                <w:spacing w:val="0"/>
                <w:sz w:val="24"/>
                <w:szCs w:val="24"/>
              </w:rPr>
              <w:t>残疾儿童少年义务教育巩固提高项目。充分发挥残疾人教育专家委员会的作用，开展对适龄残疾儿童少年入学需求摸底排查和规范评估，并给予科学的教育安置，提高适龄残疾儿童少年义务教育普及水平和巩固率，残疾儿童少年义务教育入学率不低于</w:t>
            </w:r>
            <w:r>
              <w:rPr>
                <w:rFonts w:ascii="仿宋_GB2312" w:hAnsi="仿宋_GB2312" w:eastAsia="仿宋_GB2312" w:cs="仿宋_GB2312"/>
                <w:spacing w:val="0"/>
                <w:sz w:val="24"/>
                <w:szCs w:val="24"/>
              </w:rPr>
              <w:t>97%</w:t>
            </w:r>
            <w:r>
              <w:rPr>
                <w:rFonts w:hint="eastAsia" w:ascii="仿宋_GB2312" w:hAnsi="仿宋_GB2312" w:eastAsia="仿宋_GB2312" w:cs="仿宋_GB2312"/>
                <w:spacing w:val="0"/>
                <w:sz w:val="24"/>
                <w:szCs w:val="24"/>
              </w:rPr>
              <w:t>。</w:t>
            </w:r>
          </w:p>
          <w:p>
            <w:pPr>
              <w:keepNext w:val="0"/>
              <w:keepLines w:val="0"/>
              <w:pageBreakBefore w:val="0"/>
              <w:widowControl w:val="0"/>
              <w:kinsoku/>
              <w:wordWrap/>
              <w:overflowPunct/>
              <w:topLinePunct w:val="0"/>
              <w:autoSpaceDE/>
              <w:autoSpaceDN/>
              <w:bidi w:val="0"/>
              <w:adjustRightInd/>
              <w:snapToGrid w:val="0"/>
              <w:spacing w:line="420" w:lineRule="exact"/>
              <w:ind w:firstLine="480" w:firstLineChars="200"/>
              <w:textAlignment w:val="auto"/>
              <w:outlineLvl w:val="9"/>
              <w:rPr>
                <w:rFonts w:ascii="仿宋_GB2312" w:hAnsi="仿宋_GB2312" w:eastAsia="仿宋_GB2312" w:cs="仿宋_GB2312"/>
                <w:spacing w:val="0"/>
                <w:sz w:val="24"/>
                <w:szCs w:val="24"/>
              </w:rPr>
            </w:pPr>
            <w:r>
              <w:rPr>
                <w:rFonts w:ascii="仿宋_GB2312" w:hAnsi="仿宋_GB2312" w:eastAsia="仿宋_GB2312" w:cs="仿宋_GB2312"/>
                <w:spacing w:val="0"/>
                <w:sz w:val="24"/>
                <w:szCs w:val="24"/>
              </w:rPr>
              <w:t>2.</w:t>
            </w:r>
            <w:r>
              <w:rPr>
                <w:rFonts w:hint="eastAsia" w:ascii="仿宋_GB2312" w:hAnsi="仿宋_GB2312" w:eastAsia="仿宋_GB2312" w:cs="仿宋_GB2312"/>
                <w:spacing w:val="0"/>
                <w:sz w:val="24"/>
                <w:szCs w:val="24"/>
              </w:rPr>
              <w:t>残疾幼儿学前康复教育发展项目。鼓励各类幼儿园、普通学校学前班、残疾儿童康复机构等招收符合入学条件的残疾幼儿入学，开展学前教育和康复训练，积极推进融合教育。加强残疾儿童学前幼儿特殊教育和康复机构建设。</w:t>
            </w:r>
          </w:p>
          <w:p>
            <w:pPr>
              <w:keepNext w:val="0"/>
              <w:keepLines w:val="0"/>
              <w:pageBreakBefore w:val="0"/>
              <w:widowControl w:val="0"/>
              <w:kinsoku/>
              <w:wordWrap/>
              <w:overflowPunct/>
              <w:topLinePunct w:val="0"/>
              <w:autoSpaceDE/>
              <w:autoSpaceDN/>
              <w:bidi w:val="0"/>
              <w:adjustRightInd/>
              <w:snapToGrid w:val="0"/>
              <w:spacing w:line="420" w:lineRule="exact"/>
              <w:ind w:firstLine="480" w:firstLineChars="200"/>
              <w:textAlignment w:val="auto"/>
              <w:outlineLvl w:val="9"/>
              <w:rPr>
                <w:rFonts w:ascii="仿宋_GB2312" w:hAnsi="仿宋_GB2312" w:eastAsia="仿宋_GB2312" w:cs="仿宋_GB2312"/>
                <w:spacing w:val="0"/>
                <w:sz w:val="24"/>
                <w:szCs w:val="24"/>
              </w:rPr>
            </w:pPr>
            <w:r>
              <w:rPr>
                <w:rFonts w:ascii="仿宋_GB2312" w:hAnsi="仿宋_GB2312" w:eastAsia="仿宋_GB2312" w:cs="仿宋_GB2312"/>
                <w:spacing w:val="0"/>
                <w:sz w:val="24"/>
                <w:szCs w:val="24"/>
              </w:rPr>
              <w:t>3.</w:t>
            </w:r>
            <w:r>
              <w:rPr>
                <w:rFonts w:hint="eastAsia" w:ascii="仿宋_GB2312" w:hAnsi="仿宋_GB2312" w:eastAsia="仿宋_GB2312" w:cs="仿宋_GB2312"/>
                <w:spacing w:val="0"/>
                <w:sz w:val="24"/>
                <w:szCs w:val="24"/>
              </w:rPr>
              <w:t>残疾人职业教育提升项目。支持特殊教育学校与普通职业院校联合开展残疾人职业教育，推动职业教育融合发展。支持中高等职业学校（含特教学校中职部）加强实训基地建设，为残疾学生实习实训提供保障和便利。</w:t>
            </w:r>
          </w:p>
          <w:p>
            <w:pPr>
              <w:keepNext w:val="0"/>
              <w:keepLines w:val="0"/>
              <w:pageBreakBefore w:val="0"/>
              <w:widowControl w:val="0"/>
              <w:kinsoku/>
              <w:wordWrap/>
              <w:overflowPunct/>
              <w:topLinePunct w:val="0"/>
              <w:autoSpaceDE/>
              <w:autoSpaceDN/>
              <w:bidi w:val="0"/>
              <w:adjustRightInd/>
              <w:snapToGrid w:val="0"/>
              <w:spacing w:line="420" w:lineRule="exact"/>
              <w:ind w:firstLine="480" w:firstLineChars="200"/>
              <w:textAlignment w:val="auto"/>
              <w:outlineLvl w:val="9"/>
              <w:rPr>
                <w:rFonts w:ascii="仿宋_GB2312" w:hAnsi="仿宋_GB2312" w:eastAsia="仿宋_GB2312" w:cs="仿宋_GB2312"/>
                <w:spacing w:val="0"/>
                <w:sz w:val="24"/>
                <w:szCs w:val="24"/>
              </w:rPr>
            </w:pPr>
            <w:r>
              <w:rPr>
                <w:rFonts w:ascii="仿宋_GB2312" w:hAnsi="仿宋_GB2312" w:eastAsia="仿宋_GB2312" w:cs="仿宋_GB2312"/>
                <w:spacing w:val="0"/>
                <w:sz w:val="24"/>
                <w:szCs w:val="24"/>
              </w:rPr>
              <w:t>4.</w:t>
            </w:r>
            <w:r>
              <w:rPr>
                <w:rFonts w:hint="eastAsia" w:ascii="仿宋_GB2312" w:hAnsi="仿宋_GB2312" w:eastAsia="仿宋_GB2312" w:cs="仿宋_GB2312"/>
                <w:spacing w:val="0"/>
                <w:sz w:val="24"/>
                <w:szCs w:val="24"/>
              </w:rPr>
              <w:t>融合教育推广项目。支持招收残疾儿童的普通学校配备必要的教育教学、康复训练设施设备和专业人员。鼓励设置随班就读区域资源中心或资源教室。同等条件下在招生片区内优先安排残疾儿童少年就近就便入学。</w:t>
            </w:r>
          </w:p>
          <w:p>
            <w:pPr>
              <w:keepNext w:val="0"/>
              <w:keepLines w:val="0"/>
              <w:pageBreakBefore w:val="0"/>
              <w:widowControl w:val="0"/>
              <w:kinsoku/>
              <w:wordWrap/>
              <w:overflowPunct/>
              <w:topLinePunct w:val="0"/>
              <w:autoSpaceDE/>
              <w:autoSpaceDN/>
              <w:bidi w:val="0"/>
              <w:adjustRightInd/>
              <w:snapToGrid w:val="0"/>
              <w:spacing w:line="420" w:lineRule="exact"/>
              <w:ind w:firstLine="480" w:firstLineChars="200"/>
              <w:textAlignment w:val="auto"/>
              <w:outlineLvl w:val="9"/>
              <w:rPr>
                <w:rFonts w:ascii="仿宋_GB2312" w:hAnsi="仿宋_GB2312" w:eastAsia="仿宋_GB2312" w:cs="仿宋_GB2312"/>
                <w:spacing w:val="0"/>
                <w:sz w:val="24"/>
                <w:szCs w:val="24"/>
              </w:rPr>
            </w:pPr>
            <w:r>
              <w:rPr>
                <w:rFonts w:ascii="仿宋_GB2312" w:hAnsi="仿宋_GB2312" w:eastAsia="仿宋_GB2312" w:cs="仿宋_GB2312"/>
                <w:spacing w:val="0"/>
                <w:sz w:val="24"/>
                <w:szCs w:val="24"/>
              </w:rPr>
              <w:t>5.</w:t>
            </w:r>
            <w:r>
              <w:rPr>
                <w:rFonts w:hint="eastAsia" w:ascii="仿宋_GB2312" w:hAnsi="仿宋_GB2312" w:eastAsia="仿宋_GB2312" w:cs="仿宋_GB2312"/>
                <w:spacing w:val="0"/>
                <w:sz w:val="24"/>
                <w:szCs w:val="24"/>
              </w:rPr>
              <w:t>提升特殊教育学校质量项目。加强特殊教育督导和质量监测评估，按照有关规定开展表彰奖励，提升教书育人能力素质。</w:t>
            </w:r>
          </w:p>
          <w:p>
            <w:pPr>
              <w:keepNext w:val="0"/>
              <w:keepLines w:val="0"/>
              <w:pageBreakBefore w:val="0"/>
              <w:widowControl w:val="0"/>
              <w:kinsoku/>
              <w:wordWrap/>
              <w:overflowPunct/>
              <w:topLinePunct w:val="0"/>
              <w:autoSpaceDE/>
              <w:autoSpaceDN/>
              <w:bidi w:val="0"/>
              <w:adjustRightInd/>
              <w:snapToGrid w:val="0"/>
              <w:spacing w:line="420" w:lineRule="exact"/>
              <w:ind w:firstLine="480" w:firstLineChars="200"/>
              <w:textAlignment w:val="auto"/>
              <w:outlineLvl w:val="9"/>
              <w:rPr>
                <w:rFonts w:ascii="仿宋_GB2312" w:hAnsi="仿宋_GB2312" w:eastAsia="仿宋_GB2312" w:cs="仿宋_GB2312"/>
                <w:spacing w:val="0"/>
                <w:sz w:val="24"/>
                <w:szCs w:val="24"/>
              </w:rPr>
            </w:pPr>
            <w:r>
              <w:rPr>
                <w:rFonts w:ascii="仿宋_GB2312" w:hAnsi="仿宋_GB2312" w:eastAsia="仿宋_GB2312" w:cs="仿宋_GB2312"/>
                <w:spacing w:val="0"/>
                <w:sz w:val="24"/>
                <w:szCs w:val="24"/>
              </w:rPr>
              <w:t>6.</w:t>
            </w:r>
            <w:r>
              <w:rPr>
                <w:rFonts w:hint="eastAsia" w:ascii="仿宋_GB2312" w:hAnsi="仿宋_GB2312" w:eastAsia="仿宋_GB2312" w:cs="仿宋_GB2312"/>
                <w:spacing w:val="0"/>
                <w:sz w:val="24"/>
                <w:szCs w:val="24"/>
              </w:rPr>
              <w:t>手语盲文推广项目。制定实施《原平市</w:t>
            </w:r>
            <w:r>
              <w:rPr>
                <w:rFonts w:hint="eastAsia" w:ascii="仿宋_GB2312" w:hAnsi="仿宋_GB2312" w:eastAsia="仿宋_GB2312" w:cs="仿宋_GB2312"/>
                <w:spacing w:val="0"/>
                <w:sz w:val="24"/>
                <w:szCs w:val="24"/>
                <w:lang w:val="zh-CN"/>
              </w:rPr>
              <w:t>“十</w:t>
            </w:r>
            <w:r>
              <w:rPr>
                <w:rFonts w:hint="eastAsia" w:ascii="仿宋_GB2312" w:hAnsi="仿宋_GB2312" w:eastAsia="仿宋_GB2312" w:cs="仿宋_GB2312"/>
                <w:spacing w:val="0"/>
                <w:sz w:val="24"/>
                <w:szCs w:val="24"/>
              </w:rPr>
              <w:t>四五”国家手语和盲文规范化行动实施方案》，到</w:t>
            </w:r>
            <w:r>
              <w:rPr>
                <w:rFonts w:ascii="仿宋_GB2312" w:hAnsi="仿宋_GB2312" w:eastAsia="仿宋_GB2312" w:cs="仿宋_GB2312"/>
                <w:spacing w:val="0"/>
                <w:sz w:val="24"/>
                <w:szCs w:val="24"/>
              </w:rPr>
              <w:t>2025</w:t>
            </w:r>
            <w:r>
              <w:rPr>
                <w:rFonts w:hint="eastAsia" w:ascii="仿宋_GB2312" w:hAnsi="仿宋_GB2312" w:eastAsia="仿宋_GB2312" w:cs="仿宋_GB2312"/>
                <w:spacing w:val="0"/>
                <w:sz w:val="24"/>
                <w:szCs w:val="24"/>
              </w:rPr>
              <w:t>年，原平市特殊教育学校普遍使用国家通用手语；国家通用手语和国家通用盲文的社会服务范围进一步扩大；特教教师专业技能和从业者的手语、盲文服务质量得到提升。</w:t>
            </w:r>
          </w:p>
          <w:p>
            <w:pPr>
              <w:keepNext w:val="0"/>
              <w:keepLines w:val="0"/>
              <w:pageBreakBefore w:val="0"/>
              <w:widowControl w:val="0"/>
              <w:kinsoku/>
              <w:wordWrap/>
              <w:overflowPunct/>
              <w:topLinePunct w:val="0"/>
              <w:autoSpaceDE/>
              <w:autoSpaceDN/>
              <w:bidi w:val="0"/>
              <w:adjustRightInd/>
              <w:snapToGrid w:val="0"/>
              <w:spacing w:line="420" w:lineRule="exact"/>
              <w:ind w:firstLine="480" w:firstLineChars="200"/>
              <w:jc w:val="both"/>
              <w:textAlignment w:val="auto"/>
              <w:outlineLvl w:val="9"/>
              <w:rPr>
                <w:rFonts w:ascii="仿宋_GB2312" w:hAnsi="仿宋_GB2312" w:eastAsia="仿宋_GB2312" w:cs="仿宋_GB2312"/>
                <w:sz w:val="24"/>
                <w:szCs w:val="24"/>
              </w:rPr>
            </w:pPr>
            <w:bookmarkStart w:id="23" w:name="_Toc18664"/>
            <w:r>
              <w:rPr>
                <w:rFonts w:ascii="仿宋_GB2312" w:hAnsi="仿宋_GB2312" w:eastAsia="仿宋_GB2312" w:cs="仿宋_GB2312"/>
                <w:b w:val="0"/>
                <w:bCs/>
                <w:spacing w:val="0"/>
                <w:sz w:val="24"/>
                <w:szCs w:val="24"/>
              </w:rPr>
              <w:t>7.</w:t>
            </w:r>
            <w:r>
              <w:rPr>
                <w:rFonts w:hint="eastAsia" w:ascii="仿宋_GB2312" w:hAnsi="仿宋_GB2312" w:eastAsia="仿宋_GB2312" w:cs="仿宋_GB2312"/>
                <w:b w:val="0"/>
                <w:bCs/>
                <w:spacing w:val="0"/>
                <w:sz w:val="24"/>
                <w:szCs w:val="24"/>
              </w:rPr>
              <w:t>扶残助学项目。继续开展残疾大学生和困难残疾人家庭子女大学生资助项目，减轻残疾大学生和困难残疾人家庭经济负担。</w:t>
            </w:r>
            <w:bookmarkEnd w:id="23"/>
          </w:p>
        </w:tc>
      </w:tr>
    </w:tbl>
    <w:p>
      <w:pPr>
        <w:pageBreakBefore w:val="0"/>
        <w:widowControl w:val="0"/>
        <w:wordWrap/>
        <w:overflowPunct/>
        <w:topLinePunct w:val="0"/>
        <w:bidi w:val="0"/>
        <w:snapToGrid w:val="0"/>
        <w:spacing w:line="500" w:lineRule="exact"/>
        <w:ind w:firstLine="480" w:firstLineChars="200"/>
        <w:outlineLvl w:val="9"/>
        <w:rPr>
          <w:rFonts w:hint="eastAsia" w:ascii="仿宋_GB2312" w:hAnsi="仿宋" w:eastAsia="仿宋_GB2312" w:cs="仿宋"/>
          <w:color w:val="000000"/>
          <w:kern w:val="0"/>
          <w:sz w:val="24"/>
          <w:szCs w:val="24"/>
          <w:lang w:val="zh-TW" w:eastAsia="zh-TW"/>
        </w:rPr>
        <w:sectPr>
          <w:type w:val="continuous"/>
          <w:pgSz w:w="12240" w:h="16498"/>
          <w:pgMar w:top="1145" w:right="1389" w:bottom="1134" w:left="1389" w:header="1043" w:footer="992" w:gutter="0"/>
          <w:pgNumType w:fmt="decimal"/>
          <w:cols w:space="425"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outlineLvl w:val="9"/>
        <w:rPr>
          <w:rFonts w:hint="eastAsia" w:ascii="仿宋_GB2312" w:hAnsi="仿宋" w:eastAsia="仿宋_GB2312" w:cs="仿宋"/>
          <w:color w:val="000000"/>
          <w:kern w:val="0"/>
          <w:sz w:val="24"/>
          <w:szCs w:val="24"/>
          <w:lang w:val="zh-TW"/>
        </w:rPr>
      </w:pPr>
      <w:r>
        <w:rPr>
          <w:rFonts w:hint="eastAsia" w:ascii="仿宋_GB2312" w:hAnsi="仿宋" w:eastAsia="仿宋_GB2312" w:cs="仿宋"/>
          <w:color w:val="000000"/>
          <w:kern w:val="0"/>
          <w:sz w:val="24"/>
          <w:szCs w:val="24"/>
          <w:lang w:val="zh-TW" w:eastAsia="zh-TW"/>
        </w:rPr>
        <w:t>优化残疾人公共文化服务供给能力。广泛开展残疾人文化活动，激发残疾人参与公共文化热情，保障残疾人的文化权益。鼓励残疾人参加“书香三晋</w:t>
      </w:r>
      <w:r>
        <w:rPr>
          <w:rFonts w:ascii="仿宋" w:hAnsi="仿宋" w:eastAsia="仿宋" w:cs="仿宋"/>
          <w:color w:val="000000"/>
          <w:kern w:val="0"/>
          <w:sz w:val="24"/>
          <w:szCs w:val="24"/>
          <w:lang w:val="zh-TW" w:eastAsia="zh-TW"/>
        </w:rPr>
        <w:t>·</w:t>
      </w:r>
      <w:r>
        <w:rPr>
          <w:rFonts w:hint="eastAsia" w:ascii="仿宋_GB2312" w:hAnsi="仿宋" w:eastAsia="仿宋_GB2312" w:cs="仿宋"/>
          <w:color w:val="000000"/>
          <w:kern w:val="0"/>
          <w:sz w:val="24"/>
          <w:szCs w:val="24"/>
          <w:lang w:val="zh-TW" w:eastAsia="zh-TW"/>
        </w:rPr>
        <w:t>文化山西”全民阅读活动等公共文化活动，持续开展“残疾人文化周”等群众性文化艺术活动，着力打造具有原平特色的残疾人群众性文化活动品牌。为残疾人提供盲文和有声读物等无障碍文化服务。鼓励电视台、广播电台、网络视听媒体和融媒体中心开设残疾人专题节目。大力发展特殊艺术，加强特殊艺术人才基地建设。支持残疾人学习传统工艺</w:t>
      </w:r>
      <w:r>
        <w:rPr>
          <w:rFonts w:ascii="仿宋_GB2312" w:hAnsi="仿宋" w:eastAsia="仿宋_GB2312" w:cs="仿宋"/>
          <w:color w:val="000000"/>
          <w:kern w:val="0"/>
          <w:sz w:val="24"/>
          <w:szCs w:val="24"/>
          <w:lang w:val="zh-TW" w:eastAsia="zh-TW"/>
        </w:rPr>
        <w:t>,</w:t>
      </w:r>
      <w:r>
        <w:rPr>
          <w:rFonts w:hint="eastAsia" w:ascii="仿宋_GB2312" w:hAnsi="仿宋" w:eastAsia="仿宋_GB2312" w:cs="仿宋"/>
          <w:color w:val="000000"/>
          <w:kern w:val="0"/>
          <w:sz w:val="24"/>
          <w:szCs w:val="24"/>
          <w:lang w:val="zh-TW" w:eastAsia="zh-TW"/>
        </w:rPr>
        <w:t>传承非物质文化遗产。</w:t>
      </w:r>
      <w:r>
        <w:rPr>
          <w:rFonts w:ascii="仿宋_GB2312" w:hAnsi="仿宋" w:eastAsia="仿宋_GB2312" w:cs="仿宋"/>
          <w:color w:val="000000"/>
          <w:kern w:val="0"/>
          <w:sz w:val="24"/>
          <w:szCs w:val="24"/>
          <w:lang w:val="zh-TW" w:eastAsia="zh-TW"/>
        </w:rPr>
        <w:t>(</w:t>
      </w:r>
      <w:r>
        <w:rPr>
          <w:rFonts w:hint="eastAsia" w:ascii="仿宋_GB2312" w:hAnsi="仿宋" w:eastAsia="仿宋_GB2312" w:cs="仿宋"/>
          <w:color w:val="000000"/>
          <w:kern w:val="0"/>
          <w:sz w:val="24"/>
          <w:szCs w:val="24"/>
          <w:lang w:val="zh-TW" w:eastAsia="zh-TW"/>
        </w:rPr>
        <w:t>牵头单位</w:t>
      </w:r>
      <w:r>
        <w:rPr>
          <w:rFonts w:ascii="仿宋_GB2312" w:hAnsi="仿宋" w:eastAsia="仿宋_GB2312" w:cs="仿宋"/>
          <w:color w:val="000000"/>
          <w:kern w:val="0"/>
          <w:sz w:val="24"/>
          <w:szCs w:val="24"/>
          <w:lang w:val="zh-TW" w:eastAsia="zh-TW"/>
        </w:rPr>
        <w:t>:</w:t>
      </w:r>
      <w:r>
        <w:rPr>
          <w:rFonts w:hint="eastAsia" w:ascii="仿宋_GB2312" w:hAnsi="仿宋" w:eastAsia="仿宋_GB2312" w:cs="仿宋"/>
          <w:color w:val="000000"/>
          <w:kern w:val="0"/>
          <w:sz w:val="24"/>
          <w:szCs w:val="24"/>
          <w:lang w:val="zh-TW" w:eastAsia="zh-TW"/>
        </w:rPr>
        <w:t>市残联</w:t>
      </w:r>
      <w:r>
        <w:rPr>
          <w:rFonts w:hint="eastAsia" w:ascii="仿宋_GB2312" w:hAnsi="仿宋" w:eastAsia="仿宋_GB2312" w:cs="仿宋"/>
          <w:color w:val="000000"/>
          <w:kern w:val="0"/>
          <w:sz w:val="24"/>
          <w:szCs w:val="24"/>
          <w:lang w:val="zh-TW"/>
        </w:rPr>
        <w:t>；配合单位</w:t>
      </w:r>
      <w:r>
        <w:rPr>
          <w:rFonts w:ascii="仿宋_GB2312" w:hAnsi="仿宋" w:eastAsia="仿宋_GB2312" w:cs="仿宋"/>
          <w:color w:val="000000"/>
          <w:kern w:val="0"/>
          <w:sz w:val="24"/>
          <w:szCs w:val="24"/>
          <w:lang w:val="zh-TW" w:eastAsia="zh-TW"/>
        </w:rPr>
        <w:t>:</w:t>
      </w:r>
      <w:r>
        <w:rPr>
          <w:rFonts w:hint="eastAsia" w:ascii="仿宋_GB2312" w:hAnsi="仿宋" w:eastAsia="仿宋_GB2312" w:cs="仿宋"/>
          <w:color w:val="000000"/>
          <w:kern w:val="0"/>
          <w:sz w:val="24"/>
          <w:szCs w:val="24"/>
          <w:lang w:val="zh-TW" w:eastAsia="zh-TW"/>
        </w:rPr>
        <w:t>市教科局、民政局、</w:t>
      </w:r>
      <w:r>
        <w:rPr>
          <w:rFonts w:hint="eastAsia" w:ascii="仿宋_GB2312" w:hAnsi="仿宋" w:eastAsia="仿宋_GB2312" w:cs="仿宋"/>
          <w:color w:val="000000"/>
          <w:kern w:val="0"/>
          <w:sz w:val="24"/>
          <w:szCs w:val="24"/>
          <w:lang w:val="zh-TW"/>
        </w:rPr>
        <w:t>文化和旅游</w:t>
      </w:r>
      <w:r>
        <w:rPr>
          <w:rFonts w:hint="eastAsia" w:ascii="仿宋_GB2312" w:hAnsi="仿宋" w:eastAsia="仿宋_GB2312" w:cs="仿宋"/>
          <w:color w:val="000000"/>
          <w:kern w:val="0"/>
          <w:sz w:val="24"/>
          <w:szCs w:val="24"/>
          <w:lang w:val="zh-TW" w:eastAsia="zh-TW"/>
        </w:rPr>
        <w:t>局、市融媒体中心</w:t>
      </w:r>
      <w:r>
        <w:rPr>
          <w:rFonts w:ascii="仿宋_GB2312" w:hAnsi="仿宋" w:eastAsia="仿宋_GB2312" w:cs="仿宋"/>
          <w:color w:val="000000"/>
          <w:kern w:val="0"/>
          <w:sz w:val="24"/>
          <w:szCs w:val="24"/>
          <w:lang w:val="zh-TW" w:eastAsia="zh-TW"/>
        </w:rPr>
        <w:t>)</w:t>
      </w:r>
    </w:p>
    <w:p>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outlineLvl w:val="9"/>
        <w:rPr>
          <w:rFonts w:ascii="仿宋_GB2312" w:hAnsi="仿宋_GB2312" w:eastAsia="仿宋_GB2312" w:cs="仿宋_GB2312"/>
          <w:sz w:val="24"/>
          <w:szCs w:val="24"/>
        </w:rPr>
      </w:pPr>
      <w:r>
        <w:rPr>
          <w:rFonts w:hint="eastAsia" w:ascii="仿宋_GB2312" w:hAnsi="仿宋" w:eastAsia="仿宋_GB2312" w:cs="仿宋"/>
          <w:color w:val="000000"/>
          <w:kern w:val="0"/>
          <w:sz w:val="24"/>
          <w:szCs w:val="24"/>
          <w:lang w:val="zh-TW" w:eastAsia="zh-TW"/>
        </w:rPr>
        <w:t>大力发展残疾人体育事业。加快推进残疾人体育服务纳入公共体育基本服务体系</w:t>
      </w:r>
      <w:r>
        <w:rPr>
          <w:rFonts w:ascii="仿宋_GB2312" w:hAnsi="仿宋" w:eastAsia="仿宋_GB2312" w:cs="仿宋"/>
          <w:color w:val="000000"/>
          <w:kern w:val="0"/>
          <w:sz w:val="24"/>
          <w:szCs w:val="24"/>
          <w:lang w:val="zh-TW" w:eastAsia="zh-TW"/>
        </w:rPr>
        <w:t>,</w:t>
      </w:r>
      <w:r>
        <w:rPr>
          <w:rFonts w:hint="eastAsia" w:ascii="仿宋_GB2312" w:hAnsi="仿宋" w:eastAsia="仿宋_GB2312" w:cs="仿宋"/>
          <w:color w:val="000000"/>
          <w:kern w:val="0"/>
          <w:sz w:val="24"/>
          <w:szCs w:val="24"/>
          <w:lang w:val="zh-TW" w:eastAsia="zh-TW"/>
        </w:rPr>
        <w:t>推动公共体育设施向残疾人免费或低收费开放。探索建立发现人才、培养人才、激励人才脱颖而出的机制</w:t>
      </w:r>
      <w:r>
        <w:rPr>
          <w:rFonts w:ascii="仿宋_GB2312" w:hAnsi="仿宋" w:eastAsia="仿宋_GB2312" w:cs="仿宋"/>
          <w:color w:val="000000"/>
          <w:kern w:val="0"/>
          <w:sz w:val="24"/>
          <w:szCs w:val="24"/>
          <w:lang w:val="zh-TW" w:eastAsia="zh-TW"/>
        </w:rPr>
        <w:t>,</w:t>
      </w:r>
      <w:r>
        <w:rPr>
          <w:rFonts w:hint="eastAsia" w:ascii="仿宋_GB2312" w:hAnsi="仿宋" w:eastAsia="仿宋_GB2312" w:cs="仿宋"/>
          <w:color w:val="000000"/>
          <w:kern w:val="0"/>
          <w:sz w:val="24"/>
          <w:szCs w:val="24"/>
          <w:lang w:val="zh-TW" w:eastAsia="zh-TW"/>
        </w:rPr>
        <w:t>发展残疾人竞技体育。积极推动残疾人群众体育、康复健身体育发展。继续开展“全国特奥日” “残疾人健身周”活动</w:t>
      </w:r>
      <w:r>
        <w:rPr>
          <w:rFonts w:ascii="仿宋_GB2312" w:hAnsi="仿宋" w:eastAsia="仿宋_GB2312" w:cs="仿宋"/>
          <w:color w:val="000000"/>
          <w:kern w:val="0"/>
          <w:sz w:val="24"/>
          <w:szCs w:val="24"/>
          <w:lang w:val="zh-TW" w:eastAsia="zh-TW"/>
        </w:rPr>
        <w:t>,</w:t>
      </w:r>
      <w:r>
        <w:rPr>
          <w:rFonts w:hint="eastAsia" w:ascii="仿宋_GB2312" w:hAnsi="仿宋" w:eastAsia="仿宋_GB2312" w:cs="仿宋"/>
          <w:color w:val="000000"/>
          <w:kern w:val="0"/>
          <w:sz w:val="24"/>
          <w:szCs w:val="24"/>
          <w:lang w:val="zh-TW" w:eastAsia="zh-TW"/>
        </w:rPr>
        <w:t>组织残疾人参加各类群众性健身活动</w:t>
      </w:r>
      <w:r>
        <w:rPr>
          <w:rFonts w:ascii="仿宋_GB2312" w:hAnsi="仿宋" w:eastAsia="仿宋_GB2312" w:cs="仿宋"/>
          <w:color w:val="000000"/>
          <w:kern w:val="0"/>
          <w:sz w:val="24"/>
          <w:szCs w:val="24"/>
          <w:lang w:val="zh-TW" w:eastAsia="zh-TW"/>
        </w:rPr>
        <w:t>,</w:t>
      </w:r>
      <w:r>
        <w:rPr>
          <w:rFonts w:hint="eastAsia" w:ascii="仿宋_GB2312" w:hAnsi="仿宋" w:eastAsia="仿宋_GB2312" w:cs="仿宋"/>
          <w:color w:val="000000"/>
          <w:kern w:val="0"/>
          <w:sz w:val="24"/>
          <w:szCs w:val="24"/>
          <w:lang w:val="zh-TW" w:eastAsia="zh-TW"/>
        </w:rPr>
        <w:t>推广残疾人全民健身运动。</w:t>
      </w:r>
      <w:r>
        <w:rPr>
          <w:rFonts w:ascii="仿宋_GB2312" w:hAnsi="仿宋" w:eastAsia="仿宋_GB2312" w:cs="仿宋"/>
          <w:color w:val="000000"/>
          <w:kern w:val="0"/>
          <w:sz w:val="24"/>
          <w:szCs w:val="24"/>
          <w:lang w:val="zh-TW" w:eastAsia="zh-TW"/>
        </w:rPr>
        <w:t>(</w:t>
      </w:r>
      <w:r>
        <w:rPr>
          <w:rFonts w:hint="eastAsia" w:ascii="仿宋_GB2312" w:hAnsi="仿宋" w:eastAsia="仿宋_GB2312" w:cs="仿宋"/>
          <w:color w:val="000000"/>
          <w:kern w:val="0"/>
          <w:sz w:val="24"/>
          <w:szCs w:val="24"/>
          <w:lang w:val="zh-TW" w:eastAsia="zh-TW"/>
        </w:rPr>
        <w:t>牵头单位：市残联</w:t>
      </w:r>
      <w:r>
        <w:rPr>
          <w:rFonts w:hint="eastAsia" w:ascii="仿宋_GB2312" w:hAnsi="仿宋" w:eastAsia="仿宋_GB2312" w:cs="仿宋"/>
          <w:color w:val="000000"/>
          <w:kern w:val="0"/>
          <w:sz w:val="24"/>
          <w:szCs w:val="24"/>
          <w:lang w:val="zh-TW"/>
        </w:rPr>
        <w:t>；配合单位</w:t>
      </w:r>
      <w:r>
        <w:rPr>
          <w:rFonts w:ascii="仿宋_GB2312" w:hAnsi="仿宋" w:eastAsia="仿宋_GB2312" w:cs="仿宋"/>
          <w:color w:val="000000"/>
          <w:kern w:val="0"/>
          <w:sz w:val="24"/>
          <w:szCs w:val="24"/>
          <w:lang w:val="zh-TW" w:eastAsia="zh-TW"/>
        </w:rPr>
        <w:t>:</w:t>
      </w:r>
      <w:r>
        <w:rPr>
          <w:rFonts w:hint="eastAsia" w:ascii="仿宋_GB2312" w:hAnsi="仿宋" w:eastAsia="仿宋_GB2312" w:cs="仿宋"/>
          <w:color w:val="000000"/>
          <w:kern w:val="0"/>
          <w:sz w:val="24"/>
          <w:szCs w:val="24"/>
          <w:lang w:val="zh-TW" w:eastAsia="zh-TW"/>
        </w:rPr>
        <w:t>市教科局、</w:t>
      </w:r>
      <w:r>
        <w:rPr>
          <w:rFonts w:hint="eastAsia" w:ascii="仿宋_GB2312" w:hAnsi="仿宋" w:eastAsia="仿宋_GB2312" w:cs="仿宋"/>
          <w:color w:val="000000"/>
          <w:kern w:val="0"/>
          <w:sz w:val="24"/>
          <w:szCs w:val="24"/>
          <w:lang w:val="zh-TW"/>
        </w:rPr>
        <w:t>卫生健康和体育</w:t>
      </w:r>
      <w:r>
        <w:rPr>
          <w:rFonts w:hint="eastAsia" w:ascii="仿宋_GB2312" w:hAnsi="仿宋" w:eastAsia="仿宋_GB2312" w:cs="仿宋"/>
          <w:color w:val="000000"/>
          <w:kern w:val="0"/>
          <w:sz w:val="24"/>
          <w:szCs w:val="24"/>
          <w:lang w:val="zh-TW" w:eastAsia="zh-TW"/>
        </w:rPr>
        <w:t>局</w:t>
      </w:r>
      <w:r>
        <w:rPr>
          <w:rFonts w:ascii="仿宋_GB2312" w:hAnsi="仿宋" w:eastAsia="仿宋_GB2312" w:cs="仿宋"/>
          <w:color w:val="000000"/>
          <w:kern w:val="0"/>
          <w:sz w:val="24"/>
          <w:szCs w:val="24"/>
          <w:lang w:val="zh-TW" w:eastAsia="zh-TW"/>
        </w:rPr>
        <w:t>)</w:t>
      </w:r>
    </w:p>
    <w:p>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黑体" w:hAnsi="黑体" w:eastAsia="黑体" w:cs="黑体"/>
          <w:sz w:val="24"/>
          <w:szCs w:val="24"/>
        </w:rPr>
        <w:sectPr>
          <w:type w:val="continuous"/>
          <w:pgSz w:w="12240" w:h="16498"/>
          <w:pgMar w:top="1145" w:right="1389" w:bottom="1134" w:left="1389" w:header="1043" w:footer="992" w:gutter="0"/>
          <w:pgNumType w:fmt="decimal"/>
          <w:cols w:equalWidth="0" w:num="2">
            <w:col w:w="4518" w:space="425"/>
            <w:col w:w="4518"/>
          </w:cols>
          <w:rtlGutter w:val="0"/>
          <w:docGrid w:type="lines" w:linePitch="312" w:charSpace="0"/>
        </w:sectPr>
      </w:pPr>
    </w:p>
    <w:tbl>
      <w:tblPr>
        <w:tblStyle w:val="18"/>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94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4" w:hRule="atLeast"/>
          <w:jc w:val="center"/>
        </w:trPr>
        <w:tc>
          <w:tcPr>
            <w:tcW w:w="5000" w:type="pct"/>
            <w:tcBorders>
              <w:top w:val="single" w:color="000000" w:sz="2" w:space="0"/>
              <w:left w:val="single" w:color="000000" w:sz="4" w:space="0"/>
              <w:bottom w:val="single" w:color="000000" w:sz="2" w:space="0"/>
              <w:right w:val="single" w:color="000000" w:sz="4" w:space="0"/>
            </w:tcBorders>
            <w:noWrap w:val="0"/>
            <w:vAlign w:val="center"/>
          </w:tcPr>
          <w:p>
            <w:pPr>
              <w:pageBreakBefore w:val="0"/>
              <w:widowControl w:val="0"/>
              <w:wordWrap/>
              <w:overflowPunct/>
              <w:topLinePunct w:val="0"/>
              <w:bidi w:val="0"/>
              <w:snapToGrid w:val="0"/>
              <w:spacing w:line="500" w:lineRule="exact"/>
              <w:jc w:val="center"/>
              <w:outlineLvl w:val="9"/>
              <w:rPr>
                <w:rFonts w:ascii="宋体" w:hAnsi="宋体" w:cs="宋体"/>
                <w:sz w:val="24"/>
                <w:szCs w:val="24"/>
              </w:rPr>
            </w:pPr>
            <w:r>
              <w:rPr>
                <w:rFonts w:hint="eastAsia" w:ascii="黑体" w:hAnsi="黑体" w:eastAsia="黑体" w:cs="黑体"/>
                <w:sz w:val="28"/>
                <w:szCs w:val="28"/>
              </w:rPr>
              <w:t>专栏</w:t>
            </w:r>
            <w:r>
              <w:rPr>
                <w:rFonts w:ascii="黑体" w:hAnsi="黑体" w:eastAsia="黑体" w:cs="黑体"/>
                <w:sz w:val="28"/>
                <w:szCs w:val="28"/>
              </w:rPr>
              <w:t>7</w:t>
            </w:r>
            <w:r>
              <w:rPr>
                <w:rFonts w:hint="eastAsia" w:ascii="黑体" w:hAnsi="黑体" w:eastAsia="黑体" w:cs="黑体"/>
                <w:sz w:val="28"/>
                <w:szCs w:val="28"/>
              </w:rPr>
              <w:t xml:space="preserve">  残疾人文化体育服务重点项目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jc w:val="center"/>
        </w:trPr>
        <w:tc>
          <w:tcPr>
            <w:tcW w:w="5000" w:type="pct"/>
            <w:tcBorders>
              <w:top w:val="single" w:color="000000" w:sz="2" w:space="0"/>
              <w:left w:val="single" w:color="000000" w:sz="4" w:space="0"/>
              <w:bottom w:val="single" w:color="000000" w:sz="2"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val="0"/>
              <w:spacing w:line="420" w:lineRule="exact"/>
              <w:ind w:firstLine="480" w:firstLineChars="200"/>
              <w:textAlignment w:val="auto"/>
              <w:outlineLvl w:val="9"/>
              <w:rPr>
                <w:rFonts w:ascii="仿宋_GB2312" w:hAnsi="仿宋_GB2312" w:eastAsia="仿宋_GB2312" w:cs="仿宋_GB2312"/>
                <w:sz w:val="24"/>
                <w:szCs w:val="24"/>
              </w:rPr>
            </w:pPr>
            <w:r>
              <w:rPr>
                <w:rFonts w:ascii="仿宋_GB2312" w:hAnsi="仿宋_GB2312" w:eastAsia="仿宋_GB2312" w:cs="仿宋_GB2312"/>
                <w:sz w:val="24"/>
                <w:szCs w:val="24"/>
              </w:rPr>
              <w:t>1.</w:t>
            </w:r>
            <w:r>
              <w:rPr>
                <w:rFonts w:hint="eastAsia" w:ascii="仿宋_GB2312" w:hAnsi="仿宋_GB2312" w:eastAsia="仿宋_GB2312" w:cs="仿宋_GB2312"/>
                <w:sz w:val="24"/>
                <w:szCs w:val="24"/>
              </w:rPr>
              <w:t>“五个一”文化进家庭、进社区项目。为重度残疾人家庭开展“读一本书、看一场电影、游一次园、参观一次展览、参加一次文化活动”文化服务。</w:t>
            </w:r>
          </w:p>
          <w:p>
            <w:pPr>
              <w:keepNext w:val="0"/>
              <w:keepLines w:val="0"/>
              <w:pageBreakBefore w:val="0"/>
              <w:widowControl w:val="0"/>
              <w:kinsoku/>
              <w:wordWrap/>
              <w:overflowPunct/>
              <w:topLinePunct w:val="0"/>
              <w:autoSpaceDE/>
              <w:autoSpaceDN/>
              <w:bidi w:val="0"/>
              <w:adjustRightInd/>
              <w:snapToGrid w:val="0"/>
              <w:spacing w:line="420" w:lineRule="exact"/>
              <w:ind w:firstLine="456" w:firstLineChars="200"/>
              <w:textAlignment w:val="auto"/>
              <w:outlineLvl w:val="9"/>
              <w:rPr>
                <w:rFonts w:ascii="仿宋_GB2312" w:hAnsi="仿宋_GB2312" w:eastAsia="仿宋_GB2312" w:cs="仿宋_GB2312"/>
                <w:spacing w:val="-6"/>
                <w:sz w:val="24"/>
                <w:szCs w:val="24"/>
              </w:rPr>
            </w:pPr>
            <w:r>
              <w:rPr>
                <w:rFonts w:ascii="仿宋_GB2312" w:hAnsi="仿宋_GB2312" w:eastAsia="仿宋_GB2312" w:cs="仿宋_GB2312"/>
                <w:spacing w:val="-6"/>
                <w:sz w:val="24"/>
                <w:szCs w:val="24"/>
              </w:rPr>
              <w:t>2.</w:t>
            </w:r>
            <w:r>
              <w:rPr>
                <w:rFonts w:hint="eastAsia" w:ascii="仿宋_GB2312" w:hAnsi="仿宋_GB2312" w:eastAsia="仿宋_GB2312" w:cs="仿宋_GB2312"/>
                <w:spacing w:val="-6"/>
                <w:sz w:val="24"/>
                <w:szCs w:val="24"/>
              </w:rPr>
              <w:t>盲人文化服务项目。推动市公共图书馆盲人阅览室（区）建设，增加盲文读物、有声读物、大字读物、数字阅读、无障碍电影电视剧等产品和服务。鼓励电影院线、有线电视提供无障碍影视服务。</w:t>
            </w:r>
          </w:p>
          <w:p>
            <w:pPr>
              <w:keepNext w:val="0"/>
              <w:keepLines w:val="0"/>
              <w:pageBreakBefore w:val="0"/>
              <w:widowControl w:val="0"/>
              <w:kinsoku/>
              <w:wordWrap/>
              <w:overflowPunct/>
              <w:topLinePunct w:val="0"/>
              <w:autoSpaceDE/>
              <w:autoSpaceDN/>
              <w:bidi w:val="0"/>
              <w:adjustRightInd/>
              <w:snapToGrid w:val="0"/>
              <w:spacing w:line="420" w:lineRule="exact"/>
              <w:ind w:firstLine="480" w:firstLineChars="200"/>
              <w:textAlignment w:val="auto"/>
              <w:outlineLvl w:val="9"/>
              <w:rPr>
                <w:rFonts w:ascii="仿宋_GB2312" w:hAnsi="仿宋_GB2312" w:eastAsia="仿宋_GB2312" w:cs="仿宋_GB2312"/>
                <w:sz w:val="24"/>
                <w:szCs w:val="24"/>
              </w:rPr>
            </w:pPr>
            <w:r>
              <w:rPr>
                <w:rFonts w:ascii="仿宋_GB2312" w:hAnsi="仿宋_GB2312" w:eastAsia="仿宋_GB2312" w:cs="仿宋_GB2312"/>
                <w:sz w:val="24"/>
                <w:szCs w:val="24"/>
              </w:rPr>
              <w:t>3.</w:t>
            </w:r>
            <w:r>
              <w:rPr>
                <w:rFonts w:hint="eastAsia" w:ascii="仿宋_GB2312" w:hAnsi="仿宋_GB2312" w:eastAsia="仿宋_GB2312" w:cs="仿宋_GB2312"/>
                <w:sz w:val="24"/>
                <w:szCs w:val="24"/>
              </w:rPr>
              <w:t>聋人文化服务项目。鼓励影视作品、网络视频加配字幕</w:t>
            </w:r>
            <w:r>
              <w:rPr>
                <w:rFonts w:ascii="仿宋_GB2312" w:hAnsi="仿宋_GB2312" w:eastAsia="仿宋_GB2312" w:cs="仿宋_GB2312"/>
                <w:sz w:val="24"/>
                <w:szCs w:val="24"/>
              </w:rPr>
              <w:t>,</w:t>
            </w:r>
            <w:r>
              <w:rPr>
                <w:rFonts w:hint="eastAsia" w:ascii="仿宋_GB2312" w:hAnsi="仿宋_GB2312" w:eastAsia="仿宋_GB2312" w:cs="仿宋_GB2312"/>
                <w:sz w:val="24"/>
                <w:szCs w:val="24"/>
              </w:rPr>
              <w:t>市电视台开播国家通用手语或实时字幕栏目。</w:t>
            </w:r>
          </w:p>
          <w:p>
            <w:pPr>
              <w:keepNext w:val="0"/>
              <w:keepLines w:val="0"/>
              <w:pageBreakBefore w:val="0"/>
              <w:widowControl w:val="0"/>
              <w:kinsoku/>
              <w:wordWrap/>
              <w:overflowPunct/>
              <w:topLinePunct w:val="0"/>
              <w:autoSpaceDE/>
              <w:autoSpaceDN/>
              <w:bidi w:val="0"/>
              <w:adjustRightInd/>
              <w:snapToGrid w:val="0"/>
              <w:spacing w:line="420" w:lineRule="exact"/>
              <w:ind w:firstLine="480" w:firstLineChars="200"/>
              <w:textAlignment w:val="auto"/>
              <w:outlineLvl w:val="9"/>
              <w:rPr>
                <w:rFonts w:ascii="仿宋_GB2312" w:hAnsi="仿宋_GB2312" w:eastAsia="仿宋_GB2312" w:cs="仿宋_GB2312"/>
                <w:sz w:val="24"/>
                <w:szCs w:val="24"/>
              </w:rPr>
            </w:pPr>
            <w:r>
              <w:rPr>
                <w:rFonts w:ascii="仿宋_GB2312" w:hAnsi="仿宋_GB2312" w:eastAsia="仿宋_GB2312" w:cs="仿宋_GB2312"/>
                <w:sz w:val="24"/>
                <w:szCs w:val="24"/>
              </w:rPr>
              <w:t>4.</w:t>
            </w:r>
            <w:r>
              <w:rPr>
                <w:rFonts w:hint="eastAsia" w:ascii="仿宋_GB2312" w:hAnsi="仿宋_GB2312" w:eastAsia="仿宋_GB2312" w:cs="仿宋_GB2312"/>
                <w:sz w:val="24"/>
                <w:szCs w:val="24"/>
              </w:rPr>
              <w:t>特殊艺术推广项目。鼓励残疾人参与文化创作</w:t>
            </w:r>
            <w:r>
              <w:rPr>
                <w:rFonts w:ascii="仿宋_GB2312" w:hAnsi="仿宋_GB2312" w:eastAsia="仿宋_GB2312" w:cs="仿宋_GB2312"/>
                <w:sz w:val="24"/>
                <w:szCs w:val="24"/>
              </w:rPr>
              <w:t>,</w:t>
            </w:r>
            <w:r>
              <w:rPr>
                <w:rFonts w:hint="eastAsia" w:ascii="仿宋_GB2312" w:hAnsi="仿宋_GB2312" w:eastAsia="仿宋_GB2312" w:cs="仿宋_GB2312"/>
                <w:sz w:val="24"/>
                <w:szCs w:val="24"/>
              </w:rPr>
              <w:t>培养残疾人特殊艺术人才和师资</w:t>
            </w:r>
            <w:r>
              <w:rPr>
                <w:rFonts w:ascii="仿宋_GB2312" w:hAnsi="仿宋_GB2312" w:eastAsia="仿宋_GB2312" w:cs="仿宋_GB2312"/>
                <w:sz w:val="24"/>
                <w:szCs w:val="24"/>
              </w:rPr>
              <w:t>,</w:t>
            </w:r>
            <w:r>
              <w:rPr>
                <w:rFonts w:hint="eastAsia" w:ascii="仿宋_GB2312" w:hAnsi="仿宋_GB2312" w:eastAsia="仿宋_GB2312" w:cs="仿宋_GB2312"/>
                <w:sz w:val="24"/>
                <w:szCs w:val="24"/>
              </w:rPr>
              <w:t>扶持残疾人艺术团体创编精品节目。</w:t>
            </w:r>
          </w:p>
          <w:p>
            <w:pPr>
              <w:keepNext w:val="0"/>
              <w:keepLines w:val="0"/>
              <w:pageBreakBefore w:val="0"/>
              <w:widowControl w:val="0"/>
              <w:kinsoku/>
              <w:wordWrap/>
              <w:overflowPunct/>
              <w:topLinePunct w:val="0"/>
              <w:autoSpaceDE/>
              <w:autoSpaceDN/>
              <w:bidi w:val="0"/>
              <w:adjustRightInd/>
              <w:snapToGrid w:val="0"/>
              <w:spacing w:line="420" w:lineRule="exact"/>
              <w:ind w:firstLine="480" w:firstLineChars="200"/>
              <w:textAlignment w:val="auto"/>
              <w:outlineLvl w:val="9"/>
              <w:rPr>
                <w:rFonts w:ascii="仿宋_GB2312" w:hAnsi="仿宋_GB2312" w:eastAsia="仿宋_GB2312" w:cs="仿宋_GB2312"/>
                <w:sz w:val="24"/>
                <w:szCs w:val="24"/>
              </w:rPr>
            </w:pPr>
            <w:r>
              <w:rPr>
                <w:rFonts w:ascii="仿宋_GB2312" w:hAnsi="仿宋_GB2312" w:eastAsia="仿宋_GB2312" w:cs="仿宋_GB2312"/>
                <w:sz w:val="24"/>
                <w:szCs w:val="24"/>
              </w:rPr>
              <w:t>5.</w:t>
            </w:r>
            <w:r>
              <w:rPr>
                <w:rFonts w:hint="eastAsia" w:ascii="仿宋_GB2312" w:hAnsi="仿宋_GB2312" w:eastAsia="仿宋_GB2312" w:cs="仿宋_GB2312"/>
                <w:sz w:val="24"/>
                <w:szCs w:val="24"/>
              </w:rPr>
              <w:t>残疾人文化产业发展项目。支持重点文化产业基地发展。</w:t>
            </w:r>
          </w:p>
          <w:p>
            <w:pPr>
              <w:keepNext w:val="0"/>
              <w:keepLines w:val="0"/>
              <w:pageBreakBefore w:val="0"/>
              <w:widowControl w:val="0"/>
              <w:kinsoku/>
              <w:wordWrap/>
              <w:overflowPunct/>
              <w:topLinePunct w:val="0"/>
              <w:autoSpaceDE/>
              <w:autoSpaceDN/>
              <w:bidi w:val="0"/>
              <w:adjustRightInd/>
              <w:snapToGrid w:val="0"/>
              <w:spacing w:line="420" w:lineRule="exact"/>
              <w:ind w:firstLine="480" w:firstLineChars="200"/>
              <w:textAlignment w:val="auto"/>
              <w:outlineLvl w:val="9"/>
              <w:rPr>
                <w:rFonts w:ascii="仿宋_GB2312" w:hAnsi="仿宋_GB2312" w:eastAsia="仿宋_GB2312" w:cs="仿宋_GB2312"/>
                <w:sz w:val="24"/>
                <w:szCs w:val="24"/>
              </w:rPr>
            </w:pPr>
            <w:r>
              <w:rPr>
                <w:rFonts w:ascii="仿宋_GB2312" w:hAnsi="仿宋_GB2312" w:eastAsia="仿宋_GB2312" w:cs="仿宋_GB2312"/>
                <w:sz w:val="24"/>
                <w:szCs w:val="24"/>
              </w:rPr>
              <w:t>6.</w:t>
            </w:r>
            <w:r>
              <w:rPr>
                <w:rFonts w:hint="eastAsia" w:ascii="仿宋_GB2312" w:hAnsi="仿宋_GB2312" w:eastAsia="仿宋_GB2312" w:cs="仿宋_GB2312"/>
                <w:sz w:val="24"/>
                <w:szCs w:val="24"/>
              </w:rPr>
              <w:t>残疾人体育水平提升行动。完善残疾人体育竞赛训练保障和服务能力</w:t>
            </w:r>
            <w:r>
              <w:rPr>
                <w:rFonts w:ascii="仿宋_GB2312" w:hAnsi="仿宋_GB2312" w:eastAsia="仿宋_GB2312" w:cs="仿宋_GB2312"/>
                <w:sz w:val="24"/>
                <w:szCs w:val="24"/>
              </w:rPr>
              <w:t>,</w:t>
            </w:r>
            <w:r>
              <w:rPr>
                <w:rFonts w:hint="eastAsia" w:ascii="仿宋_GB2312" w:hAnsi="仿宋_GB2312" w:eastAsia="仿宋_GB2312" w:cs="仿宋_GB2312"/>
                <w:sz w:val="24"/>
                <w:szCs w:val="24"/>
              </w:rPr>
              <w:t>以</w:t>
            </w:r>
            <w:r>
              <w:rPr>
                <w:rFonts w:hint="eastAsia" w:ascii="仿宋_GB2312" w:hAnsi="仿宋_GB2312" w:eastAsia="仿宋_GB2312" w:cs="仿宋_GB2312"/>
                <w:spacing w:val="2"/>
                <w:sz w:val="24"/>
                <w:szCs w:val="24"/>
              </w:rPr>
              <w:t>赛促训</w:t>
            </w:r>
            <w:r>
              <w:rPr>
                <w:rFonts w:ascii="仿宋_GB2312" w:hAnsi="仿宋_GB2312" w:eastAsia="仿宋_GB2312" w:cs="仿宋_GB2312"/>
                <w:spacing w:val="2"/>
                <w:sz w:val="24"/>
                <w:szCs w:val="24"/>
              </w:rPr>
              <w:t>,</w:t>
            </w:r>
            <w:r>
              <w:rPr>
                <w:rFonts w:hint="eastAsia" w:ascii="仿宋_GB2312" w:hAnsi="仿宋_GB2312" w:eastAsia="仿宋_GB2312" w:cs="仿宋_GB2312"/>
                <w:spacing w:val="2"/>
                <w:sz w:val="24"/>
                <w:szCs w:val="24"/>
              </w:rPr>
              <w:t>推动我市残疾人体育事业全面发展。</w:t>
            </w:r>
          </w:p>
          <w:p>
            <w:pPr>
              <w:keepNext w:val="0"/>
              <w:keepLines w:val="0"/>
              <w:pageBreakBefore w:val="0"/>
              <w:widowControl w:val="0"/>
              <w:kinsoku/>
              <w:wordWrap/>
              <w:overflowPunct/>
              <w:topLinePunct w:val="0"/>
              <w:autoSpaceDE/>
              <w:autoSpaceDN/>
              <w:bidi w:val="0"/>
              <w:adjustRightInd/>
              <w:snapToGrid w:val="0"/>
              <w:spacing w:line="420" w:lineRule="exact"/>
              <w:ind w:firstLine="480" w:firstLineChars="200"/>
              <w:textAlignment w:val="auto"/>
              <w:outlineLvl w:val="9"/>
              <w:rPr>
                <w:rFonts w:ascii="仿宋_GB2312" w:hAnsi="仿宋_GB2312" w:eastAsia="仿宋_GB2312" w:cs="仿宋_GB2312"/>
                <w:spacing w:val="-6"/>
                <w:sz w:val="24"/>
                <w:szCs w:val="24"/>
              </w:rPr>
            </w:pPr>
            <w:r>
              <w:rPr>
                <w:rFonts w:ascii="仿宋_GB2312" w:hAnsi="仿宋_GB2312" w:eastAsia="仿宋_GB2312" w:cs="仿宋_GB2312"/>
                <w:sz w:val="24"/>
                <w:szCs w:val="24"/>
              </w:rPr>
              <w:t>7.</w:t>
            </w:r>
            <w:r>
              <w:rPr>
                <w:rFonts w:hint="eastAsia" w:ascii="仿宋_GB2312" w:hAnsi="仿宋_GB2312" w:eastAsia="仿宋_GB2312" w:cs="仿宋_GB2312"/>
                <w:sz w:val="24"/>
                <w:szCs w:val="24"/>
              </w:rPr>
              <w:t>优秀运动员培养和输送行动。</w:t>
            </w:r>
            <w:r>
              <w:rPr>
                <w:rFonts w:hint="eastAsia" w:ascii="仿宋_GB2312" w:hAnsi="仿宋_GB2312" w:eastAsia="仿宋_GB2312" w:cs="仿宋_GB2312"/>
                <w:spacing w:val="-6"/>
                <w:sz w:val="24"/>
                <w:szCs w:val="24"/>
              </w:rPr>
              <w:t>选拔优秀运动员进行有针对性训练</w:t>
            </w:r>
            <w:r>
              <w:rPr>
                <w:rFonts w:ascii="仿宋_GB2312" w:hAnsi="仿宋_GB2312" w:eastAsia="仿宋_GB2312" w:cs="仿宋_GB2312"/>
                <w:spacing w:val="-6"/>
                <w:sz w:val="24"/>
                <w:szCs w:val="24"/>
              </w:rPr>
              <w:t>,</w:t>
            </w:r>
            <w:r>
              <w:rPr>
                <w:rFonts w:hint="eastAsia" w:ascii="仿宋_GB2312" w:hAnsi="仿宋_GB2312" w:eastAsia="仿宋_GB2312" w:cs="仿宋_GB2312"/>
                <w:spacing w:val="-6"/>
                <w:sz w:val="24"/>
                <w:szCs w:val="24"/>
              </w:rPr>
              <w:t>不断提升竞技水平。</w:t>
            </w:r>
          </w:p>
          <w:p>
            <w:pPr>
              <w:keepNext w:val="0"/>
              <w:keepLines w:val="0"/>
              <w:pageBreakBefore w:val="0"/>
              <w:widowControl w:val="0"/>
              <w:kinsoku/>
              <w:wordWrap/>
              <w:overflowPunct/>
              <w:topLinePunct w:val="0"/>
              <w:autoSpaceDE/>
              <w:autoSpaceDN/>
              <w:bidi w:val="0"/>
              <w:adjustRightInd/>
              <w:snapToGrid w:val="0"/>
              <w:spacing w:line="420" w:lineRule="exact"/>
              <w:ind w:firstLine="492" w:firstLineChars="200"/>
              <w:textAlignment w:val="auto"/>
              <w:outlineLvl w:val="9"/>
              <w:rPr>
                <w:rFonts w:ascii="宋体" w:hAnsi="宋体" w:cs="宋体"/>
                <w:sz w:val="24"/>
                <w:szCs w:val="24"/>
              </w:rPr>
            </w:pPr>
            <w:r>
              <w:rPr>
                <w:rFonts w:ascii="仿宋_GB2312" w:hAnsi="仿宋_GB2312" w:eastAsia="仿宋_GB2312" w:cs="仿宋_GB2312"/>
                <w:spacing w:val="3"/>
                <w:sz w:val="24"/>
                <w:szCs w:val="24"/>
              </w:rPr>
              <w:t>8.</w:t>
            </w:r>
            <w:r>
              <w:rPr>
                <w:rFonts w:hint="eastAsia" w:ascii="仿宋_GB2312" w:hAnsi="仿宋_GB2312" w:eastAsia="仿宋_GB2312" w:cs="仿宋_GB2312"/>
                <w:spacing w:val="3"/>
                <w:sz w:val="24"/>
                <w:szCs w:val="24"/>
              </w:rPr>
              <w:t>残疾人康复健身体育行动。充分发挥残疾人康复健身社会体育指导员作</w:t>
            </w:r>
            <w:r>
              <w:rPr>
                <w:rFonts w:hint="eastAsia" w:ascii="仿宋_GB2312" w:hAnsi="仿宋_GB2312" w:eastAsia="仿宋_GB2312" w:cs="仿宋_GB2312"/>
                <w:spacing w:val="2"/>
                <w:sz w:val="24"/>
                <w:szCs w:val="24"/>
              </w:rPr>
              <w:t>用</w:t>
            </w:r>
            <w:r>
              <w:rPr>
                <w:rFonts w:ascii="仿宋_GB2312" w:hAnsi="仿宋_GB2312" w:eastAsia="仿宋_GB2312" w:cs="仿宋_GB2312"/>
                <w:spacing w:val="2"/>
                <w:sz w:val="24"/>
                <w:szCs w:val="24"/>
              </w:rPr>
              <w:t>,</w:t>
            </w:r>
            <w:r>
              <w:rPr>
                <w:rFonts w:hint="eastAsia" w:ascii="仿宋_GB2312" w:hAnsi="仿宋_GB2312" w:eastAsia="仿宋_GB2312" w:cs="仿宋_GB2312"/>
                <w:spacing w:val="2"/>
                <w:sz w:val="24"/>
                <w:szCs w:val="24"/>
              </w:rPr>
              <w:t>依托残疾人康复健身示范点</w:t>
            </w:r>
            <w:r>
              <w:rPr>
                <w:rFonts w:ascii="仿宋_GB2312" w:hAnsi="仿宋_GB2312" w:eastAsia="仿宋_GB2312" w:cs="仿宋_GB2312"/>
                <w:spacing w:val="2"/>
                <w:sz w:val="24"/>
                <w:szCs w:val="24"/>
              </w:rPr>
              <w:t>,</w:t>
            </w:r>
            <w:r>
              <w:rPr>
                <w:rFonts w:hint="eastAsia" w:ascii="仿宋_GB2312" w:hAnsi="仿宋_GB2312" w:eastAsia="仿宋_GB2312" w:cs="仿宋_GB2312"/>
                <w:spacing w:val="2"/>
                <w:sz w:val="24"/>
                <w:szCs w:val="24"/>
              </w:rPr>
              <w:t>推广适合残疾人的康复健身项目和方法。继续</w:t>
            </w:r>
            <w:r>
              <w:rPr>
                <w:rFonts w:hint="eastAsia" w:ascii="仿宋_GB2312" w:hAnsi="仿宋_GB2312" w:eastAsia="仿宋_GB2312" w:cs="仿宋_GB2312"/>
                <w:spacing w:val="3"/>
                <w:sz w:val="24"/>
                <w:szCs w:val="24"/>
              </w:rPr>
              <w:t>举办“全国特奥日”“残疾人健身周”等活动。</w:t>
            </w:r>
          </w:p>
        </w:tc>
      </w:tr>
    </w:tbl>
    <w:p>
      <w:pPr>
        <w:pStyle w:val="42"/>
        <w:pageBreakBefore w:val="0"/>
        <w:widowControl w:val="0"/>
        <w:wordWrap/>
        <w:overflowPunct/>
        <w:topLinePunct w:val="0"/>
        <w:bidi w:val="0"/>
        <w:snapToGrid w:val="0"/>
        <w:spacing w:after="0" w:line="500" w:lineRule="exact"/>
        <w:ind w:firstLine="480" w:firstLineChars="200"/>
        <w:jc w:val="both"/>
        <w:outlineLvl w:val="9"/>
        <w:rPr>
          <w:rFonts w:hint="eastAsia" w:ascii="仿宋_GB2312" w:hAnsi="仿宋" w:eastAsia="仿宋_GB2312" w:cs="仿宋"/>
          <w:sz w:val="24"/>
          <w:szCs w:val="24"/>
        </w:rPr>
        <w:sectPr>
          <w:type w:val="continuous"/>
          <w:pgSz w:w="12240" w:h="16498"/>
          <w:pgMar w:top="1145" w:right="1389" w:bottom="1134" w:left="1389" w:header="1043" w:footer="992" w:gutter="0"/>
          <w:pgNumType w:fmt="decimal"/>
          <w:cols w:space="425" w:num="1"/>
          <w:rtlGutter w:val="0"/>
          <w:docGrid w:type="lines" w:linePitch="312" w:charSpace="0"/>
        </w:sectPr>
      </w:pPr>
    </w:p>
    <w:p>
      <w:pPr>
        <w:pStyle w:val="42"/>
        <w:pageBreakBefore w:val="0"/>
        <w:widowControl w:val="0"/>
        <w:kinsoku/>
        <w:wordWrap/>
        <w:overflowPunct/>
        <w:topLinePunct w:val="0"/>
        <w:autoSpaceDE/>
        <w:autoSpaceDN/>
        <w:bidi w:val="0"/>
        <w:adjustRightInd/>
        <w:snapToGrid w:val="0"/>
        <w:spacing w:after="0" w:line="460" w:lineRule="exact"/>
        <w:ind w:firstLine="480" w:firstLineChars="200"/>
        <w:jc w:val="both"/>
        <w:textAlignment w:val="auto"/>
        <w:outlineLvl w:val="9"/>
        <w:rPr>
          <w:rFonts w:ascii="仿宋_GB2312" w:hAnsi="仿宋" w:eastAsia="仿宋_GB2312" w:cs="仿宋"/>
          <w:sz w:val="24"/>
          <w:szCs w:val="24"/>
        </w:rPr>
      </w:pPr>
      <w:r>
        <w:rPr>
          <w:rFonts w:hint="eastAsia" w:ascii="仿宋_GB2312" w:hAnsi="仿宋" w:eastAsia="仿宋_GB2312" w:cs="仿宋"/>
          <w:sz w:val="24"/>
          <w:szCs w:val="24"/>
        </w:rPr>
        <w:t>广泛发展残疾人慈善事业和志愿服务。鼓励残联、工会、共青团、妇联、科协等群团组织和社会组织、企事业单位实施助残慈善项目</w:t>
      </w:r>
      <w:r>
        <w:rPr>
          <w:rFonts w:ascii="仿宋_GB2312" w:hAnsi="仿宋" w:eastAsia="仿宋_GB2312" w:cs="仿宋"/>
          <w:sz w:val="24"/>
          <w:szCs w:val="24"/>
        </w:rPr>
        <w:t>,</w:t>
      </w:r>
      <w:r>
        <w:rPr>
          <w:rFonts w:hint="eastAsia" w:ascii="仿宋_GB2312" w:hAnsi="仿宋" w:eastAsia="仿宋_GB2312" w:cs="仿宋"/>
          <w:sz w:val="24"/>
          <w:szCs w:val="24"/>
        </w:rPr>
        <w:t>打造长期稳定的志愿助残服务队伍</w:t>
      </w:r>
      <w:r>
        <w:rPr>
          <w:rFonts w:ascii="仿宋_GB2312" w:hAnsi="仿宋" w:eastAsia="仿宋_GB2312" w:cs="仿宋"/>
          <w:sz w:val="24"/>
          <w:szCs w:val="24"/>
        </w:rPr>
        <w:t>,</w:t>
      </w:r>
      <w:r>
        <w:rPr>
          <w:rFonts w:hint="eastAsia" w:ascii="仿宋_GB2312" w:hAnsi="仿宋" w:eastAsia="仿宋_GB2312" w:cs="仿宋"/>
          <w:sz w:val="24"/>
          <w:szCs w:val="24"/>
        </w:rPr>
        <w:t>开展志愿服务关爱行动</w:t>
      </w:r>
      <w:r>
        <w:rPr>
          <w:rFonts w:ascii="仿宋_GB2312" w:hAnsi="仿宋" w:eastAsia="仿宋_GB2312" w:cs="仿宋"/>
          <w:sz w:val="24"/>
          <w:szCs w:val="24"/>
        </w:rPr>
        <w:t>,</w:t>
      </w:r>
      <w:r>
        <w:rPr>
          <w:rFonts w:hint="eastAsia" w:ascii="仿宋_GB2312" w:hAnsi="仿宋" w:eastAsia="仿宋_GB2312" w:cs="仿宋"/>
          <w:sz w:val="24"/>
          <w:szCs w:val="24"/>
        </w:rPr>
        <w:t>促进志愿助残活动向社区、残疾人服务机构和残疾人家庭延伸。培育残疾人慈善事业和志愿服务品牌。</w:t>
      </w:r>
      <w:r>
        <w:rPr>
          <w:rFonts w:ascii="仿宋_GB2312" w:hAnsi="仿宋" w:eastAsia="仿宋_GB2312" w:cs="仿宋"/>
          <w:sz w:val="24"/>
          <w:szCs w:val="24"/>
        </w:rPr>
        <w:t>(</w:t>
      </w:r>
      <w:r>
        <w:rPr>
          <w:rFonts w:hint="eastAsia" w:ascii="仿宋_GB2312" w:hAnsi="仿宋" w:eastAsia="仿宋_GB2312" w:cs="仿宋"/>
          <w:sz w:val="24"/>
          <w:szCs w:val="24"/>
        </w:rPr>
        <w:t>牵头单位</w:t>
      </w:r>
      <w:r>
        <w:rPr>
          <w:rFonts w:ascii="仿宋_GB2312" w:hAnsi="仿宋" w:eastAsia="仿宋_GB2312" w:cs="仿宋"/>
          <w:sz w:val="24"/>
          <w:szCs w:val="24"/>
        </w:rPr>
        <w:t>:</w:t>
      </w:r>
      <w:r>
        <w:rPr>
          <w:rFonts w:hint="eastAsia" w:ascii="仿宋_GB2312" w:hAnsi="仿宋" w:eastAsia="仿宋_GB2312" w:cs="仿宋"/>
          <w:sz w:val="24"/>
          <w:szCs w:val="24"/>
        </w:rPr>
        <w:t>市民政局</w:t>
      </w:r>
      <w:r>
        <w:rPr>
          <w:rFonts w:ascii="仿宋_GB2312" w:hAnsi="仿宋" w:eastAsia="仿宋_GB2312" w:cs="仿宋"/>
          <w:sz w:val="24"/>
          <w:szCs w:val="24"/>
        </w:rPr>
        <w:t>;</w:t>
      </w:r>
      <w:r>
        <w:rPr>
          <w:rFonts w:hint="eastAsia" w:ascii="仿宋_GB2312" w:hAnsi="仿宋" w:eastAsia="仿宋_GB2312" w:cs="仿宋"/>
          <w:sz w:val="24"/>
          <w:szCs w:val="24"/>
          <w:lang w:eastAsia="zh-CN"/>
        </w:rPr>
        <w:t>配合</w:t>
      </w:r>
      <w:r>
        <w:rPr>
          <w:rFonts w:hint="eastAsia" w:ascii="仿宋_GB2312" w:hAnsi="仿宋" w:eastAsia="仿宋_GB2312" w:cs="仿宋"/>
          <w:sz w:val="24"/>
          <w:szCs w:val="24"/>
        </w:rPr>
        <w:t>单位</w:t>
      </w:r>
      <w:r>
        <w:rPr>
          <w:rFonts w:ascii="仿宋_GB2312" w:hAnsi="仿宋" w:eastAsia="仿宋_GB2312" w:cs="仿宋"/>
          <w:sz w:val="24"/>
          <w:szCs w:val="24"/>
        </w:rPr>
        <w:t>:</w:t>
      </w:r>
      <w:r>
        <w:rPr>
          <w:rFonts w:hint="eastAsia" w:ascii="仿宋_GB2312" w:hAnsi="仿宋" w:eastAsia="仿宋_GB2312" w:cs="仿宋"/>
          <w:sz w:val="24"/>
          <w:szCs w:val="24"/>
        </w:rPr>
        <w:t>市总工会、团市委、市妇联、市科协、市残联</w:t>
      </w:r>
      <w:r>
        <w:rPr>
          <w:rFonts w:ascii="仿宋_GB2312" w:hAnsi="仿宋" w:eastAsia="仿宋_GB2312" w:cs="仿宋"/>
          <w:sz w:val="24"/>
          <w:szCs w:val="24"/>
        </w:rPr>
        <w:t>)</w:t>
      </w:r>
    </w:p>
    <w:p>
      <w:pPr>
        <w:pStyle w:val="5"/>
        <w:pageBreakBefore w:val="0"/>
        <w:widowControl w:val="0"/>
        <w:kinsoku/>
        <w:wordWrap/>
        <w:overflowPunct/>
        <w:topLinePunct w:val="0"/>
        <w:autoSpaceDE/>
        <w:autoSpaceDN/>
        <w:bidi w:val="0"/>
        <w:adjustRightInd/>
        <w:snapToGrid w:val="0"/>
        <w:spacing w:line="460" w:lineRule="exact"/>
        <w:textAlignment w:val="auto"/>
        <w:rPr>
          <w:rFonts w:ascii="楷体_GB2312" w:hAnsi="楷体" w:eastAsia="楷体_GB2312" w:cs="楷体"/>
          <w:w w:val="102"/>
          <w:szCs w:val="24"/>
        </w:rPr>
      </w:pPr>
      <w:r>
        <w:rPr>
          <w:rFonts w:hint="eastAsia"/>
        </w:rPr>
        <w:t>（五）保障残疾人合法权益</w:t>
      </w:r>
      <w:r>
        <w:t>,</w:t>
      </w:r>
      <w:r>
        <w:rPr>
          <w:rFonts w:hint="eastAsia"/>
        </w:rPr>
        <w:t>为残疾人提供便利化条件。</w:t>
      </w:r>
    </w:p>
    <w:p>
      <w:pPr>
        <w:pStyle w:val="42"/>
        <w:pageBreakBefore w:val="0"/>
        <w:widowControl w:val="0"/>
        <w:kinsoku/>
        <w:wordWrap/>
        <w:overflowPunct/>
        <w:topLinePunct w:val="0"/>
        <w:autoSpaceDE/>
        <w:autoSpaceDN/>
        <w:bidi w:val="0"/>
        <w:adjustRightInd/>
        <w:snapToGrid w:val="0"/>
        <w:spacing w:after="0" w:line="460" w:lineRule="exact"/>
        <w:ind w:firstLine="480" w:firstLineChars="200"/>
        <w:jc w:val="both"/>
        <w:textAlignment w:val="auto"/>
        <w:outlineLvl w:val="9"/>
        <w:rPr>
          <w:rFonts w:ascii="仿宋_GB2312" w:hAnsi="仿宋" w:eastAsia="仿宋_GB2312" w:cs="仿宋"/>
          <w:sz w:val="24"/>
          <w:szCs w:val="24"/>
        </w:rPr>
      </w:pPr>
      <w:r>
        <w:rPr>
          <w:rFonts w:hint="eastAsia" w:ascii="仿宋_GB2312" w:hAnsi="仿宋" w:eastAsia="仿宋_GB2312" w:cs="仿宋"/>
          <w:sz w:val="24"/>
          <w:szCs w:val="24"/>
        </w:rPr>
        <w:t>提高残疾人事业法治化水平。积极推进和落实有关保障残疾人合法权益的法律法规。将《中华人民共和国残疾人保障法》《山西省残疾人保障条例》《山西省实施</w:t>
      </w:r>
      <w:r>
        <w:rPr>
          <w:rFonts w:ascii="仿宋_GB2312" w:hAnsi="仿宋" w:eastAsia="仿宋_GB2312" w:cs="仿宋"/>
          <w:sz w:val="24"/>
          <w:szCs w:val="24"/>
        </w:rPr>
        <w:t>&lt;</w:t>
      </w:r>
      <w:r>
        <w:rPr>
          <w:rFonts w:hint="eastAsia" w:ascii="仿宋_GB2312" w:hAnsi="仿宋" w:eastAsia="仿宋_GB2312" w:cs="仿宋"/>
          <w:sz w:val="24"/>
          <w:szCs w:val="24"/>
        </w:rPr>
        <w:t>无障碍环境建设条例</w:t>
      </w:r>
      <w:r>
        <w:rPr>
          <w:rFonts w:ascii="仿宋_GB2312" w:hAnsi="仿宋" w:eastAsia="仿宋_GB2312" w:cs="仿宋"/>
          <w:sz w:val="24"/>
          <w:szCs w:val="24"/>
        </w:rPr>
        <w:t>&gt;</w:t>
      </w:r>
      <w:r>
        <w:rPr>
          <w:rFonts w:hint="eastAsia" w:ascii="仿宋_GB2312" w:hAnsi="仿宋" w:eastAsia="仿宋_GB2312" w:cs="仿宋"/>
          <w:sz w:val="24"/>
          <w:szCs w:val="24"/>
        </w:rPr>
        <w:t>办法》等相关法律法规纳入全市</w:t>
      </w:r>
      <w:r>
        <w:rPr>
          <w:rFonts w:hint="eastAsia" w:ascii="仿宋_GB2312" w:hAnsi="仿宋" w:eastAsia="仿宋_GB2312" w:cs="仿宋"/>
          <w:sz w:val="24"/>
          <w:szCs w:val="24"/>
          <w:lang w:eastAsia="zh-CN"/>
        </w:rPr>
        <w:t>“</w:t>
      </w:r>
      <w:r>
        <w:rPr>
          <w:rFonts w:hint="eastAsia" w:ascii="仿宋_GB2312" w:hAnsi="仿宋" w:eastAsia="仿宋_GB2312" w:cs="仿宋"/>
          <w:sz w:val="24"/>
          <w:szCs w:val="24"/>
        </w:rPr>
        <w:t>八五</w:t>
      </w:r>
      <w:r>
        <w:rPr>
          <w:rFonts w:hint="eastAsia" w:ascii="仿宋_GB2312" w:hAnsi="仿宋" w:eastAsia="仿宋_GB2312" w:cs="仿宋"/>
          <w:sz w:val="24"/>
          <w:szCs w:val="24"/>
          <w:lang w:eastAsia="zh-CN"/>
        </w:rPr>
        <w:t>”</w:t>
      </w:r>
      <w:r>
        <w:rPr>
          <w:rFonts w:hint="eastAsia" w:ascii="仿宋_GB2312" w:hAnsi="仿宋" w:eastAsia="仿宋_GB2312" w:cs="仿宋"/>
          <w:sz w:val="24"/>
          <w:szCs w:val="24"/>
        </w:rPr>
        <w:t>普法宣传活动中</w:t>
      </w:r>
      <w:r>
        <w:rPr>
          <w:rFonts w:ascii="仿宋_GB2312" w:hAnsi="仿宋" w:eastAsia="仿宋_GB2312" w:cs="仿宋"/>
          <w:sz w:val="24"/>
          <w:szCs w:val="24"/>
        </w:rPr>
        <w:t>,</w:t>
      </w:r>
      <w:r>
        <w:rPr>
          <w:rFonts w:hint="eastAsia" w:ascii="仿宋_GB2312" w:hAnsi="仿宋" w:eastAsia="仿宋_GB2312" w:cs="仿宋"/>
          <w:sz w:val="24"/>
          <w:szCs w:val="24"/>
        </w:rPr>
        <w:t>加大宣传力度</w:t>
      </w:r>
      <w:r>
        <w:rPr>
          <w:rFonts w:ascii="仿宋_GB2312" w:hAnsi="仿宋" w:eastAsia="仿宋_GB2312" w:cs="仿宋"/>
          <w:sz w:val="24"/>
          <w:szCs w:val="24"/>
        </w:rPr>
        <w:t>,</w:t>
      </w:r>
      <w:r>
        <w:rPr>
          <w:rFonts w:hint="eastAsia" w:ascii="仿宋_GB2312" w:hAnsi="仿宋" w:eastAsia="仿宋_GB2312" w:cs="仿宋"/>
          <w:sz w:val="24"/>
          <w:szCs w:val="24"/>
        </w:rPr>
        <w:t>提高公众及残疾人的知晓度</w:t>
      </w:r>
      <w:r>
        <w:rPr>
          <w:rFonts w:ascii="仿宋_GB2312" w:hAnsi="仿宋" w:eastAsia="仿宋_GB2312" w:cs="仿宋"/>
          <w:sz w:val="24"/>
          <w:szCs w:val="24"/>
        </w:rPr>
        <w:t xml:space="preserve">, </w:t>
      </w:r>
      <w:r>
        <w:rPr>
          <w:rFonts w:hint="eastAsia" w:ascii="仿宋_GB2312" w:hAnsi="仿宋" w:eastAsia="仿宋_GB2312" w:cs="仿宋"/>
          <w:sz w:val="24"/>
          <w:szCs w:val="24"/>
        </w:rPr>
        <w:t>增强全民法治意识</w:t>
      </w:r>
      <w:r>
        <w:rPr>
          <w:rFonts w:ascii="仿宋_GB2312" w:hAnsi="仿宋" w:eastAsia="仿宋_GB2312" w:cs="仿宋"/>
          <w:sz w:val="24"/>
          <w:szCs w:val="24"/>
        </w:rPr>
        <w:t>,</w:t>
      </w:r>
      <w:r>
        <w:rPr>
          <w:rFonts w:hint="eastAsia" w:ascii="仿宋_GB2312" w:hAnsi="仿宋" w:eastAsia="仿宋_GB2312" w:cs="仿宋"/>
          <w:sz w:val="24"/>
          <w:szCs w:val="24"/>
        </w:rPr>
        <w:t>形成保障残疾人合法权益的良好社会氛围。配合人大、政协开展残疾人保障法等法律法规执法检查、视察和调研。</w:t>
      </w:r>
      <w:r>
        <w:rPr>
          <w:rFonts w:ascii="仿宋_GB2312" w:hAnsi="仿宋" w:eastAsia="仿宋_GB2312" w:cs="仿宋"/>
          <w:sz w:val="24"/>
          <w:szCs w:val="24"/>
        </w:rPr>
        <w:t>(</w:t>
      </w:r>
      <w:r>
        <w:rPr>
          <w:rFonts w:hint="eastAsia" w:ascii="仿宋_GB2312" w:hAnsi="仿宋" w:eastAsia="仿宋_GB2312" w:cs="仿宋"/>
          <w:sz w:val="24"/>
          <w:szCs w:val="24"/>
        </w:rPr>
        <w:t>牵头单位</w:t>
      </w:r>
      <w:r>
        <w:rPr>
          <w:rFonts w:ascii="仿宋_GB2312" w:hAnsi="仿宋" w:eastAsia="仿宋_GB2312" w:cs="仿宋"/>
          <w:sz w:val="24"/>
          <w:szCs w:val="24"/>
        </w:rPr>
        <w:t>:</w:t>
      </w:r>
      <w:r>
        <w:rPr>
          <w:rFonts w:hint="eastAsia" w:ascii="仿宋_GB2312" w:hAnsi="仿宋" w:eastAsia="仿宋_GB2312" w:cs="仿宋"/>
          <w:sz w:val="24"/>
          <w:szCs w:val="24"/>
        </w:rPr>
        <w:t>市残联</w:t>
      </w:r>
      <w:r>
        <w:rPr>
          <w:rFonts w:ascii="仿宋_GB2312" w:hAnsi="仿宋" w:eastAsia="仿宋_GB2312" w:cs="仿宋"/>
          <w:sz w:val="24"/>
          <w:szCs w:val="24"/>
        </w:rPr>
        <w:t>;</w:t>
      </w:r>
      <w:r>
        <w:rPr>
          <w:rFonts w:hint="eastAsia" w:ascii="仿宋_GB2312" w:hAnsi="仿宋" w:eastAsia="仿宋_GB2312" w:cs="仿宋"/>
          <w:sz w:val="24"/>
          <w:szCs w:val="24"/>
          <w:lang w:eastAsia="zh-CN"/>
        </w:rPr>
        <w:t>配合单位</w:t>
      </w:r>
      <w:r>
        <w:rPr>
          <w:rFonts w:ascii="仿宋_GB2312" w:hAnsi="仿宋" w:eastAsia="仿宋_GB2312" w:cs="仿宋"/>
          <w:sz w:val="24"/>
          <w:szCs w:val="24"/>
        </w:rPr>
        <w:t>:</w:t>
      </w:r>
      <w:r>
        <w:rPr>
          <w:rFonts w:hint="eastAsia" w:ascii="仿宋_GB2312" w:hAnsi="仿宋" w:eastAsia="仿宋_GB2312" w:cs="仿宋"/>
          <w:sz w:val="24"/>
          <w:szCs w:val="24"/>
        </w:rPr>
        <w:t>市司法局</w:t>
      </w:r>
      <w:r>
        <w:rPr>
          <w:rFonts w:ascii="仿宋_GB2312" w:hAnsi="仿宋" w:eastAsia="仿宋_GB2312" w:cs="仿宋"/>
          <w:sz w:val="24"/>
          <w:szCs w:val="24"/>
        </w:rPr>
        <w:t>)</w:t>
      </w:r>
    </w:p>
    <w:p>
      <w:pPr>
        <w:pStyle w:val="42"/>
        <w:pageBreakBefore w:val="0"/>
        <w:widowControl w:val="0"/>
        <w:kinsoku/>
        <w:wordWrap/>
        <w:overflowPunct/>
        <w:topLinePunct w:val="0"/>
        <w:autoSpaceDE/>
        <w:autoSpaceDN/>
        <w:bidi w:val="0"/>
        <w:adjustRightInd/>
        <w:snapToGrid w:val="0"/>
        <w:spacing w:after="0" w:line="460" w:lineRule="exact"/>
        <w:ind w:firstLine="480" w:firstLineChars="200"/>
        <w:jc w:val="both"/>
        <w:textAlignment w:val="auto"/>
        <w:outlineLvl w:val="9"/>
        <w:rPr>
          <w:rFonts w:ascii="仿宋_GB2312" w:hAnsi="仿宋" w:eastAsia="仿宋_GB2312" w:cs="仿宋"/>
          <w:sz w:val="24"/>
          <w:szCs w:val="24"/>
        </w:rPr>
      </w:pPr>
      <w:r>
        <w:rPr>
          <w:rFonts w:hint="eastAsia" w:ascii="仿宋_GB2312" w:hAnsi="仿宋" w:eastAsia="仿宋_GB2312" w:cs="仿宋"/>
          <w:sz w:val="24"/>
          <w:szCs w:val="24"/>
        </w:rPr>
        <w:t>加强维护残疾人合法权益和法律服务。充分发挥法律维权示范岗作用，开展法律援助志愿者助残行动，为残疾人提供及时有效的无障碍公共法律服务。加强市残疾人法律救助站规范化建设，加大对残疾人的司法救助力度，方便残疾人诉讼。残疾人申请追索赡养费、抚养费、劳动报酬、工伤赔偿、抚恤金，办理司法鉴定、公证等法律事务，符合法律援助条件的，法律援助机构应当优先给予法律援助。发挥政府网络信访服务平台和“</w:t>
      </w:r>
      <w:r>
        <w:rPr>
          <w:rFonts w:ascii="仿宋_GB2312" w:hAnsi="仿宋" w:eastAsia="仿宋_GB2312" w:cs="仿宋"/>
          <w:sz w:val="24"/>
          <w:szCs w:val="24"/>
        </w:rPr>
        <w:t>12385</w:t>
      </w:r>
      <w:r>
        <w:rPr>
          <w:rFonts w:hint="eastAsia" w:ascii="仿宋_GB2312" w:hAnsi="仿宋" w:eastAsia="仿宋_GB2312" w:cs="仿宋"/>
          <w:sz w:val="24"/>
          <w:szCs w:val="24"/>
        </w:rPr>
        <w:t>”残疾人服务热线作用。加强残疾人信访工作，积极畅通信访渠道</w:t>
      </w:r>
      <w:r>
        <w:rPr>
          <w:rFonts w:ascii="仿宋_GB2312" w:hAnsi="仿宋" w:eastAsia="仿宋_GB2312" w:cs="仿宋"/>
          <w:sz w:val="24"/>
          <w:szCs w:val="24"/>
        </w:rPr>
        <w:t>,</w:t>
      </w:r>
      <w:r>
        <w:rPr>
          <w:rFonts w:hint="eastAsia" w:ascii="仿宋_GB2312" w:hAnsi="仿宋" w:eastAsia="仿宋_GB2312" w:cs="仿宋"/>
          <w:sz w:val="24"/>
          <w:szCs w:val="24"/>
        </w:rPr>
        <w:t>及时解决信访事项。建立健全残疾人权益维护应急处置机制</w:t>
      </w:r>
      <w:r>
        <w:rPr>
          <w:rFonts w:ascii="仿宋_GB2312" w:hAnsi="仿宋" w:eastAsia="仿宋_GB2312" w:cs="仿宋"/>
          <w:sz w:val="24"/>
          <w:szCs w:val="24"/>
        </w:rPr>
        <w:t>,</w:t>
      </w:r>
      <w:r>
        <w:rPr>
          <w:rFonts w:hint="eastAsia" w:ascii="仿宋_GB2312" w:hAnsi="仿宋" w:eastAsia="仿宋_GB2312" w:cs="仿宋"/>
          <w:sz w:val="24"/>
          <w:szCs w:val="24"/>
        </w:rPr>
        <w:t>坚决打击侵害残疾人权益的违法犯罪行为，依法依规保障残疾人合法权益。支持更多残疾人、残疾人亲友和残疾人工作者进入各级人大、政协履行职责</w:t>
      </w:r>
      <w:r>
        <w:rPr>
          <w:rFonts w:ascii="仿宋_GB2312" w:hAnsi="仿宋" w:eastAsia="仿宋_GB2312" w:cs="仿宋"/>
          <w:sz w:val="24"/>
          <w:szCs w:val="24"/>
        </w:rPr>
        <w:t>,</w:t>
      </w:r>
      <w:r>
        <w:rPr>
          <w:rFonts w:hint="eastAsia" w:ascii="仿宋_GB2312" w:hAnsi="仿宋" w:eastAsia="仿宋_GB2312" w:cs="仿宋"/>
          <w:sz w:val="24"/>
          <w:szCs w:val="24"/>
        </w:rPr>
        <w:t>拓宽残疾人组织和残疾人民主参与、民主协商渠道</w:t>
      </w:r>
      <w:r>
        <w:rPr>
          <w:rFonts w:ascii="仿宋_GB2312" w:hAnsi="仿宋" w:eastAsia="仿宋_GB2312" w:cs="仿宋"/>
          <w:sz w:val="24"/>
          <w:szCs w:val="24"/>
        </w:rPr>
        <w:t>,</w:t>
      </w:r>
      <w:r>
        <w:rPr>
          <w:rFonts w:hint="eastAsia" w:ascii="仿宋_GB2312" w:hAnsi="仿宋" w:eastAsia="仿宋_GB2312" w:cs="仿宋"/>
          <w:sz w:val="24"/>
          <w:szCs w:val="24"/>
        </w:rPr>
        <w:t>切实保障残疾人知情权、参与权、表达权、监督权。</w:t>
      </w:r>
      <w:r>
        <w:rPr>
          <w:rFonts w:ascii="仿宋_GB2312" w:hAnsi="仿宋" w:eastAsia="仿宋_GB2312" w:cs="仿宋"/>
          <w:sz w:val="24"/>
          <w:szCs w:val="24"/>
        </w:rPr>
        <w:t>(</w:t>
      </w:r>
      <w:r>
        <w:rPr>
          <w:rFonts w:hint="eastAsia" w:ascii="仿宋_GB2312" w:hAnsi="仿宋" w:eastAsia="仿宋_GB2312" w:cs="仿宋"/>
          <w:sz w:val="24"/>
          <w:szCs w:val="24"/>
        </w:rPr>
        <w:t>牵头单位</w:t>
      </w:r>
      <w:r>
        <w:rPr>
          <w:rFonts w:ascii="仿宋_GB2312" w:hAnsi="仿宋" w:eastAsia="仿宋_GB2312" w:cs="仿宋"/>
          <w:sz w:val="24"/>
          <w:szCs w:val="24"/>
        </w:rPr>
        <w:t>:</w:t>
      </w:r>
      <w:r>
        <w:rPr>
          <w:rFonts w:hint="eastAsia" w:ascii="仿宋_GB2312" w:hAnsi="仿宋" w:eastAsia="仿宋_GB2312" w:cs="仿宋"/>
          <w:sz w:val="24"/>
          <w:szCs w:val="24"/>
        </w:rPr>
        <w:t>市残联；</w:t>
      </w:r>
      <w:r>
        <w:rPr>
          <w:rFonts w:hint="eastAsia" w:ascii="仿宋_GB2312" w:hAnsi="仿宋" w:eastAsia="仿宋_GB2312" w:cs="仿宋"/>
          <w:sz w:val="24"/>
          <w:szCs w:val="24"/>
          <w:lang w:eastAsia="zh-CN"/>
        </w:rPr>
        <w:t>配合单位</w:t>
      </w:r>
      <w:r>
        <w:rPr>
          <w:rFonts w:ascii="仿宋_GB2312" w:hAnsi="仿宋" w:eastAsia="仿宋_GB2312" w:cs="仿宋"/>
          <w:sz w:val="24"/>
          <w:szCs w:val="24"/>
        </w:rPr>
        <w:t>:</w:t>
      </w:r>
      <w:r>
        <w:rPr>
          <w:rFonts w:hint="eastAsia" w:ascii="仿宋_GB2312" w:hAnsi="仿宋" w:eastAsia="仿宋_GB2312" w:cs="仿宋"/>
          <w:sz w:val="24"/>
          <w:szCs w:val="24"/>
        </w:rPr>
        <w:t>市公安局、司法局</w:t>
      </w:r>
      <w:r>
        <w:rPr>
          <w:rFonts w:ascii="仿宋_GB2312" w:hAnsi="仿宋" w:eastAsia="仿宋_GB2312" w:cs="仿宋"/>
          <w:sz w:val="24"/>
          <w:szCs w:val="24"/>
        </w:rPr>
        <w:t>)</w:t>
      </w:r>
    </w:p>
    <w:p>
      <w:pPr>
        <w:pStyle w:val="42"/>
        <w:pageBreakBefore w:val="0"/>
        <w:widowControl w:val="0"/>
        <w:kinsoku/>
        <w:wordWrap/>
        <w:overflowPunct/>
        <w:topLinePunct w:val="0"/>
        <w:autoSpaceDE/>
        <w:autoSpaceDN/>
        <w:bidi w:val="0"/>
        <w:adjustRightInd/>
        <w:snapToGrid w:val="0"/>
        <w:spacing w:after="0" w:line="460" w:lineRule="exact"/>
        <w:ind w:firstLine="480" w:firstLineChars="200"/>
        <w:jc w:val="both"/>
        <w:textAlignment w:val="auto"/>
        <w:outlineLvl w:val="9"/>
        <w:rPr>
          <w:rFonts w:hint="eastAsia" w:ascii="仿宋" w:hAnsi="仿宋" w:eastAsia="仿宋" w:cs="仿宋"/>
          <w:sz w:val="24"/>
          <w:szCs w:val="24"/>
        </w:rPr>
      </w:pPr>
      <w:r>
        <w:rPr>
          <w:rFonts w:hint="eastAsia" w:ascii="仿宋_GB2312" w:hAnsi="仿宋" w:eastAsia="仿宋_GB2312" w:cs="仿宋"/>
          <w:sz w:val="24"/>
          <w:szCs w:val="24"/>
        </w:rPr>
        <w:t>推进无障碍环境建设和提升信息无障碍建设水平。在城乡基础设施新建和改建中统筹推进无障碍设施建设。全面推进党政机关、学校、社区、交通、医疗、金融、商业、文体等各类公共场所和设施的无障碍改造。加强新建、改建设施的规划、设计、施工、验收监管</w:t>
      </w:r>
      <w:r>
        <w:rPr>
          <w:rFonts w:ascii="仿宋_GB2312" w:hAnsi="仿宋" w:eastAsia="仿宋_GB2312" w:cs="仿宋"/>
          <w:sz w:val="24"/>
          <w:szCs w:val="24"/>
        </w:rPr>
        <w:t>,</w:t>
      </w:r>
      <w:r>
        <w:rPr>
          <w:rFonts w:hint="eastAsia" w:ascii="仿宋_GB2312" w:hAnsi="仿宋" w:eastAsia="仿宋_GB2312" w:cs="仿宋"/>
          <w:sz w:val="24"/>
          <w:szCs w:val="24"/>
        </w:rPr>
        <w:t>新建项目无障碍设施建设率达到</w:t>
      </w:r>
      <w:r>
        <w:rPr>
          <w:rFonts w:ascii="仿宋_GB2312" w:hAnsi="仿宋" w:eastAsia="仿宋_GB2312" w:cs="仿宋"/>
          <w:sz w:val="24"/>
          <w:szCs w:val="24"/>
        </w:rPr>
        <w:t>100%</w:t>
      </w:r>
      <w:r>
        <w:rPr>
          <w:rFonts w:hint="eastAsia" w:ascii="仿宋_GB2312" w:hAnsi="仿宋" w:eastAsia="仿宋_GB2312" w:cs="仿宋"/>
          <w:sz w:val="24"/>
          <w:szCs w:val="24"/>
        </w:rPr>
        <w:t>。加强对无障碍设施的日常维护和监督管理</w:t>
      </w:r>
      <w:r>
        <w:rPr>
          <w:rFonts w:ascii="仿宋_GB2312" w:hAnsi="仿宋" w:eastAsia="仿宋_GB2312" w:cs="仿宋"/>
          <w:sz w:val="24"/>
          <w:szCs w:val="24"/>
        </w:rPr>
        <w:t>,</w:t>
      </w:r>
      <w:r>
        <w:rPr>
          <w:rFonts w:hint="eastAsia" w:ascii="仿宋_GB2312" w:hAnsi="仿宋" w:eastAsia="仿宋_GB2312" w:cs="仿宋"/>
          <w:sz w:val="24"/>
          <w:szCs w:val="24"/>
        </w:rPr>
        <w:t>将无障碍设施建设纳入城市社区“网络化”管理</w:t>
      </w:r>
      <w:r>
        <w:rPr>
          <w:rFonts w:ascii="仿宋_GB2312" w:hAnsi="仿宋" w:eastAsia="仿宋_GB2312" w:cs="仿宋"/>
          <w:sz w:val="24"/>
          <w:szCs w:val="24"/>
        </w:rPr>
        <w:t>,</w:t>
      </w:r>
      <w:r>
        <w:rPr>
          <w:rFonts w:hint="eastAsia" w:ascii="仿宋_GB2312" w:hAnsi="仿宋" w:eastAsia="仿宋_GB2312" w:cs="仿宋"/>
          <w:sz w:val="24"/>
          <w:szCs w:val="24"/>
        </w:rPr>
        <w:t>建立健全无障碍环境建设督导促进工作机制。贯彻落实山西省“十四五”推进困难重度残疾人家庭无障碍改造工作的指导意见</w:t>
      </w:r>
      <w:r>
        <w:rPr>
          <w:rFonts w:ascii="仿宋_GB2312" w:hAnsi="仿宋" w:eastAsia="仿宋_GB2312" w:cs="仿宋"/>
          <w:sz w:val="24"/>
          <w:szCs w:val="24"/>
        </w:rPr>
        <w:t>,</w:t>
      </w:r>
      <w:r>
        <w:rPr>
          <w:rFonts w:hint="eastAsia" w:ascii="仿宋_GB2312" w:hAnsi="仿宋" w:eastAsia="仿宋_GB2312" w:cs="仿宋"/>
          <w:sz w:val="24"/>
          <w:szCs w:val="24"/>
        </w:rPr>
        <w:t>高质量完成国家和</w:t>
      </w:r>
      <w:r>
        <w:rPr>
          <w:rFonts w:hint="eastAsia" w:ascii="仿宋_GB2312" w:hAnsi="仿宋" w:eastAsia="仿宋_GB2312" w:cs="仿宋"/>
          <w:sz w:val="24"/>
          <w:szCs w:val="24"/>
          <w:lang w:eastAsia="zh-CN"/>
        </w:rPr>
        <w:t>山西</w:t>
      </w:r>
      <w:r>
        <w:rPr>
          <w:rFonts w:hint="eastAsia" w:ascii="仿宋_GB2312" w:hAnsi="仿宋" w:eastAsia="仿宋_GB2312" w:cs="仿宋"/>
          <w:sz w:val="24"/>
          <w:szCs w:val="24"/>
        </w:rPr>
        <w:t>省下达的困难重度残疾人家庭无障碍改造任务</w:t>
      </w:r>
      <w:r>
        <w:rPr>
          <w:rFonts w:ascii="仿宋_GB2312" w:hAnsi="仿宋" w:eastAsia="仿宋_GB2312" w:cs="仿宋"/>
          <w:sz w:val="24"/>
          <w:szCs w:val="24"/>
        </w:rPr>
        <w:t>,</w:t>
      </w:r>
      <w:r>
        <w:rPr>
          <w:rFonts w:hint="eastAsia" w:ascii="仿宋_GB2312" w:hAnsi="仿宋" w:eastAsia="仿宋_GB2312" w:cs="仿宋"/>
          <w:sz w:val="24"/>
          <w:szCs w:val="24"/>
        </w:rPr>
        <w:t>积极自筹资金开展改造</w:t>
      </w:r>
      <w:r>
        <w:rPr>
          <w:rFonts w:ascii="仿宋_GB2312" w:hAnsi="仿宋" w:eastAsia="仿宋_GB2312" w:cs="仿宋"/>
          <w:sz w:val="24"/>
          <w:szCs w:val="24"/>
        </w:rPr>
        <w:t>,</w:t>
      </w:r>
      <w:r>
        <w:rPr>
          <w:rFonts w:hint="eastAsia" w:ascii="仿宋_GB2312" w:hAnsi="仿宋" w:eastAsia="仿宋_GB2312" w:cs="仿宋"/>
          <w:sz w:val="24"/>
          <w:szCs w:val="24"/>
        </w:rPr>
        <w:t>力争实现有需求改造户“应改尽改”。加快政府政务服务等领域平台的信息无障碍建设</w:t>
      </w:r>
      <w:r>
        <w:rPr>
          <w:rFonts w:ascii="仿宋_GB2312" w:hAnsi="仿宋" w:eastAsia="仿宋_GB2312" w:cs="仿宋"/>
          <w:sz w:val="24"/>
          <w:szCs w:val="24"/>
        </w:rPr>
        <w:t>,</w:t>
      </w:r>
      <w:r>
        <w:rPr>
          <w:rFonts w:hint="eastAsia" w:ascii="仿宋_GB2312" w:hAnsi="仿宋" w:eastAsia="仿宋_GB2312" w:cs="仿宋"/>
          <w:sz w:val="24"/>
          <w:szCs w:val="24"/>
        </w:rPr>
        <w:t>公共服务场所普遍配置信息无障碍设施设备</w:t>
      </w:r>
      <w:r>
        <w:rPr>
          <w:rFonts w:ascii="仿宋_GB2312" w:hAnsi="仿宋" w:eastAsia="仿宋_GB2312" w:cs="仿宋"/>
          <w:sz w:val="24"/>
          <w:szCs w:val="24"/>
        </w:rPr>
        <w:t>,</w:t>
      </w:r>
      <w:r>
        <w:rPr>
          <w:rFonts w:hint="eastAsia" w:ascii="仿宋_GB2312" w:hAnsi="仿宋" w:eastAsia="仿宋_GB2312" w:cs="仿宋"/>
          <w:sz w:val="24"/>
          <w:szCs w:val="24"/>
        </w:rPr>
        <w:t>为残疾人获得公共服务提供便利。将信息无障碍纳入文明城市测评指标。</w:t>
      </w:r>
      <w:r>
        <w:rPr>
          <w:rFonts w:ascii="仿宋_GB2312" w:hAnsi="仿宋" w:eastAsia="仿宋_GB2312" w:cs="仿宋"/>
          <w:sz w:val="24"/>
          <w:szCs w:val="24"/>
        </w:rPr>
        <w:t>(</w:t>
      </w:r>
      <w:r>
        <w:rPr>
          <w:rFonts w:hint="eastAsia" w:ascii="仿宋_GB2312" w:hAnsi="仿宋" w:eastAsia="仿宋_GB2312" w:cs="仿宋"/>
          <w:sz w:val="24"/>
          <w:szCs w:val="24"/>
          <w:lang w:eastAsia="zh-CN"/>
        </w:rPr>
        <w:t>牵头</w:t>
      </w:r>
      <w:r>
        <w:rPr>
          <w:rFonts w:hint="eastAsia" w:ascii="仿宋_GB2312" w:hAnsi="仿宋" w:eastAsia="仿宋_GB2312" w:cs="仿宋"/>
          <w:sz w:val="24"/>
          <w:szCs w:val="24"/>
        </w:rPr>
        <w:t>单位</w:t>
      </w:r>
      <w:r>
        <w:rPr>
          <w:rFonts w:ascii="仿宋_GB2312" w:hAnsi="仿宋" w:eastAsia="仿宋_GB2312" w:cs="仿宋"/>
          <w:sz w:val="24"/>
          <w:szCs w:val="24"/>
        </w:rPr>
        <w:t>:</w:t>
      </w:r>
      <w:r>
        <w:rPr>
          <w:rFonts w:hint="eastAsia" w:ascii="仿宋_GB2312" w:hAnsi="仿宋" w:eastAsia="仿宋_GB2312" w:cs="仿宋"/>
          <w:sz w:val="24"/>
          <w:szCs w:val="24"/>
        </w:rPr>
        <w:t>市文明办、市工信局、</w:t>
      </w:r>
      <w:r>
        <w:rPr>
          <w:rFonts w:hint="eastAsia" w:ascii="仿宋_GB2312" w:hAnsi="仿宋" w:eastAsia="仿宋_GB2312" w:cs="仿宋"/>
          <w:sz w:val="24"/>
          <w:szCs w:val="24"/>
          <w:lang w:eastAsia="zh-CN"/>
        </w:rPr>
        <w:t>住房城乡建设</w:t>
      </w:r>
      <w:r>
        <w:rPr>
          <w:rFonts w:hint="eastAsia" w:ascii="仿宋_GB2312" w:hAnsi="仿宋" w:eastAsia="仿宋_GB2312" w:cs="仿宋"/>
          <w:sz w:val="24"/>
          <w:szCs w:val="24"/>
        </w:rPr>
        <w:t>局、市残联</w:t>
      </w:r>
      <w:r>
        <w:rPr>
          <w:rFonts w:ascii="仿宋_GB2312" w:hAnsi="仿宋" w:eastAsia="仿宋_GB2312" w:cs="仿宋"/>
          <w:sz w:val="24"/>
          <w:szCs w:val="24"/>
        </w:rPr>
        <w:t>)</w:t>
      </w:r>
    </w:p>
    <w:p>
      <w:pPr>
        <w:pageBreakBefore w:val="0"/>
        <w:widowControl w:val="0"/>
        <w:wordWrap/>
        <w:overflowPunct/>
        <w:topLinePunct w:val="0"/>
        <w:bidi w:val="0"/>
        <w:snapToGrid w:val="0"/>
        <w:spacing w:line="500" w:lineRule="exact"/>
        <w:jc w:val="center"/>
        <w:outlineLvl w:val="9"/>
        <w:rPr>
          <w:rFonts w:hint="eastAsia" w:ascii="黑体" w:hAnsi="黑体" w:eastAsia="黑体" w:cs="黑体"/>
          <w:sz w:val="24"/>
          <w:szCs w:val="24"/>
        </w:rPr>
        <w:sectPr>
          <w:type w:val="continuous"/>
          <w:pgSz w:w="12240" w:h="16498"/>
          <w:pgMar w:top="1145" w:right="1389" w:bottom="1134" w:left="1389" w:header="1043" w:footer="992" w:gutter="0"/>
          <w:pgNumType w:fmt="decimal"/>
          <w:cols w:equalWidth="0" w:num="2">
            <w:col w:w="4518" w:space="425"/>
            <w:col w:w="4518"/>
          </w:cols>
          <w:rtlGutter w:val="0"/>
          <w:docGrid w:type="lines" w:linePitch="312" w:charSpace="0"/>
        </w:sectPr>
      </w:pPr>
    </w:p>
    <w:tbl>
      <w:tblPr>
        <w:tblStyle w:val="18"/>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94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0" w:hRule="atLeast"/>
          <w:jc w:val="center"/>
        </w:trPr>
        <w:tc>
          <w:tcPr>
            <w:tcW w:w="0" w:type="auto"/>
            <w:tcBorders>
              <w:top w:val="single" w:color="000000" w:sz="2" w:space="0"/>
              <w:left w:val="single" w:color="000000" w:sz="4" w:space="0"/>
              <w:bottom w:val="single" w:color="000000" w:sz="2" w:space="0"/>
              <w:right w:val="single" w:color="000000" w:sz="4" w:space="0"/>
            </w:tcBorders>
            <w:noWrap w:val="0"/>
            <w:vAlign w:val="center"/>
          </w:tcPr>
          <w:p>
            <w:pPr>
              <w:pageBreakBefore w:val="0"/>
              <w:widowControl w:val="0"/>
              <w:wordWrap/>
              <w:overflowPunct/>
              <w:topLinePunct w:val="0"/>
              <w:bidi w:val="0"/>
              <w:snapToGrid w:val="0"/>
              <w:spacing w:line="500" w:lineRule="exact"/>
              <w:jc w:val="center"/>
              <w:outlineLvl w:val="9"/>
              <w:rPr>
                <w:rFonts w:ascii="仿宋" w:hAnsi="仿宋" w:eastAsia="仿宋" w:cs="仿宋"/>
                <w:sz w:val="24"/>
                <w:szCs w:val="24"/>
              </w:rPr>
            </w:pPr>
            <w:r>
              <w:rPr>
                <w:rFonts w:hint="eastAsia" w:ascii="黑体" w:hAnsi="黑体" w:eastAsia="黑体" w:cs="黑体"/>
                <w:sz w:val="28"/>
                <w:szCs w:val="28"/>
              </w:rPr>
              <w:t>专栏</w:t>
            </w:r>
            <w:r>
              <w:rPr>
                <w:rFonts w:ascii="黑体" w:hAnsi="黑体" w:eastAsia="黑体" w:cs="黑体"/>
                <w:sz w:val="28"/>
                <w:szCs w:val="28"/>
              </w:rPr>
              <w:t>8</w:t>
            </w:r>
            <w:r>
              <w:rPr>
                <w:rFonts w:hint="eastAsia" w:ascii="黑体" w:hAnsi="黑体" w:eastAsia="黑体" w:cs="黑体"/>
                <w:sz w:val="28"/>
                <w:szCs w:val="28"/>
              </w:rPr>
              <w:t xml:space="preserve">  无障碍重点项目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2" w:hRule="atLeast"/>
          <w:jc w:val="center"/>
        </w:trPr>
        <w:tc>
          <w:tcPr>
            <w:tcW w:w="0" w:type="auto"/>
            <w:tcBorders>
              <w:top w:val="single" w:color="000000" w:sz="2" w:space="0"/>
              <w:left w:val="single" w:color="000000" w:sz="4" w:space="0"/>
              <w:bottom w:val="single" w:color="000000" w:sz="2" w:space="0"/>
              <w:right w:val="single" w:color="000000" w:sz="4" w:space="0"/>
            </w:tcBorders>
            <w:noWrap w:val="0"/>
            <w:vAlign w:val="top"/>
          </w:tcPr>
          <w:p>
            <w:pPr>
              <w:pStyle w:val="44"/>
              <w:keepNext w:val="0"/>
              <w:keepLines w:val="0"/>
              <w:pageBreakBefore w:val="0"/>
              <w:widowControl w:val="0"/>
              <w:tabs>
                <w:tab w:val="left" w:pos="782"/>
              </w:tabs>
              <w:kinsoku/>
              <w:wordWrap/>
              <w:overflowPunct/>
              <w:topLinePunct w:val="0"/>
              <w:autoSpaceDE/>
              <w:autoSpaceDN/>
              <w:bidi w:val="0"/>
              <w:adjustRightInd/>
              <w:snapToGrid w:val="0"/>
              <w:spacing w:line="460" w:lineRule="exact"/>
              <w:ind w:firstLine="480" w:firstLineChars="200"/>
              <w:jc w:val="both"/>
              <w:textAlignment w:val="auto"/>
              <w:outlineLvl w:val="9"/>
              <w:rPr>
                <w:rFonts w:ascii="仿宋_GB2312" w:hAnsi="仿宋_GB2312" w:eastAsia="仿宋_GB2312" w:cs="仿宋_GB2312"/>
                <w:sz w:val="24"/>
                <w:szCs w:val="24"/>
                <w:lang w:val="en-US" w:eastAsia="zh-CN"/>
              </w:rPr>
            </w:pPr>
            <w:r>
              <w:rPr>
                <w:rFonts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lang w:val="en-US" w:eastAsia="zh-CN"/>
              </w:rPr>
              <w:t>道路交通无障碍。城市主要街道、桥梁、人行天桥、地下通道、隧道、人行道等建设无障碍设施。公共场所、公共交通工具配备无障碍设备。</w:t>
            </w:r>
          </w:p>
          <w:p>
            <w:pPr>
              <w:pStyle w:val="44"/>
              <w:keepNext w:val="0"/>
              <w:keepLines w:val="0"/>
              <w:pageBreakBefore w:val="0"/>
              <w:widowControl w:val="0"/>
              <w:tabs>
                <w:tab w:val="left" w:pos="782"/>
              </w:tabs>
              <w:kinsoku/>
              <w:wordWrap/>
              <w:overflowPunct/>
              <w:topLinePunct w:val="0"/>
              <w:autoSpaceDE/>
              <w:autoSpaceDN/>
              <w:bidi w:val="0"/>
              <w:adjustRightInd/>
              <w:snapToGrid w:val="0"/>
              <w:spacing w:line="460" w:lineRule="exact"/>
              <w:ind w:firstLine="480" w:firstLineChars="200"/>
              <w:jc w:val="both"/>
              <w:textAlignment w:val="auto"/>
              <w:outlineLvl w:val="9"/>
              <w:rPr>
                <w:rFonts w:ascii="仿宋_GB2312" w:hAnsi="仿宋_GB2312" w:eastAsia="仿宋_GB2312" w:cs="仿宋_GB2312"/>
                <w:sz w:val="24"/>
                <w:szCs w:val="24"/>
                <w:lang w:val="en-US" w:eastAsia="zh-CN"/>
              </w:rPr>
            </w:pPr>
            <w:r>
              <w:rPr>
                <w:rFonts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lang w:val="en-US" w:eastAsia="zh-CN"/>
              </w:rPr>
              <w:t>公共服务设施无障碍。加快推动党政机关办公场所、党群服务中心、学校、医院、邮政、机场、车站等公共服务场所设施无障碍改造。</w:t>
            </w:r>
          </w:p>
          <w:p>
            <w:pPr>
              <w:pStyle w:val="44"/>
              <w:keepNext w:val="0"/>
              <w:keepLines w:val="0"/>
              <w:pageBreakBefore w:val="0"/>
              <w:widowControl w:val="0"/>
              <w:tabs>
                <w:tab w:val="left" w:pos="782"/>
              </w:tabs>
              <w:kinsoku/>
              <w:wordWrap/>
              <w:overflowPunct/>
              <w:topLinePunct w:val="0"/>
              <w:autoSpaceDE/>
              <w:autoSpaceDN/>
              <w:bidi w:val="0"/>
              <w:adjustRightInd/>
              <w:snapToGrid w:val="0"/>
              <w:spacing w:line="460" w:lineRule="exact"/>
              <w:ind w:firstLine="480" w:firstLineChars="200"/>
              <w:jc w:val="both"/>
              <w:textAlignment w:val="auto"/>
              <w:outlineLvl w:val="9"/>
              <w:rPr>
                <w:rFonts w:ascii="仿宋_GB2312" w:hAnsi="仿宋_GB2312" w:eastAsia="仿宋_GB2312" w:cs="仿宋_GB2312"/>
                <w:sz w:val="24"/>
                <w:szCs w:val="24"/>
                <w:lang w:val="en-US" w:eastAsia="zh-CN"/>
              </w:rPr>
            </w:pPr>
            <w:r>
              <w:rPr>
                <w:rFonts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lang w:val="en-US" w:eastAsia="zh-CN"/>
              </w:rPr>
              <w:t>家庭无障碍。为</w:t>
            </w:r>
            <w:r>
              <w:rPr>
                <w:rFonts w:ascii="仿宋_GB2312" w:hAnsi="仿宋_GB2312" w:eastAsia="仿宋_GB2312" w:cs="仿宋_GB2312"/>
                <w:sz w:val="24"/>
                <w:szCs w:val="24"/>
                <w:lang w:val="en-US" w:eastAsia="zh-CN"/>
              </w:rPr>
              <w:t>280</w:t>
            </w:r>
            <w:r>
              <w:rPr>
                <w:rFonts w:hint="eastAsia" w:ascii="仿宋_GB2312" w:hAnsi="仿宋_GB2312" w:eastAsia="仿宋_GB2312" w:cs="仿宋_GB2312"/>
                <w:sz w:val="24"/>
                <w:szCs w:val="24"/>
                <w:lang w:val="en-US" w:eastAsia="zh-CN"/>
              </w:rPr>
              <w:t>户困难重度残疾人家庭实施无障碍改造。</w:t>
            </w:r>
          </w:p>
          <w:p>
            <w:pPr>
              <w:pStyle w:val="44"/>
              <w:keepNext w:val="0"/>
              <w:keepLines w:val="0"/>
              <w:pageBreakBefore w:val="0"/>
              <w:widowControl w:val="0"/>
              <w:tabs>
                <w:tab w:val="left" w:pos="782"/>
              </w:tabs>
              <w:kinsoku/>
              <w:wordWrap/>
              <w:overflowPunct/>
              <w:topLinePunct w:val="0"/>
              <w:autoSpaceDE/>
              <w:autoSpaceDN/>
              <w:bidi w:val="0"/>
              <w:adjustRightInd/>
              <w:snapToGrid w:val="0"/>
              <w:spacing w:line="460" w:lineRule="exact"/>
              <w:ind w:firstLine="480" w:firstLineChars="200"/>
              <w:jc w:val="both"/>
              <w:textAlignment w:val="auto"/>
              <w:outlineLvl w:val="9"/>
              <w:rPr>
                <w:rFonts w:ascii="仿宋_GB2312" w:hAnsi="仿宋_GB2312" w:eastAsia="仿宋_GB2312" w:cs="仿宋_GB2312"/>
                <w:sz w:val="24"/>
                <w:szCs w:val="24"/>
                <w:lang w:val="en-US" w:eastAsia="zh-CN"/>
              </w:rPr>
            </w:pPr>
            <w:r>
              <w:rPr>
                <w:rFonts w:ascii="仿宋_GB2312" w:hAnsi="仿宋_GB2312" w:eastAsia="仿宋_GB2312" w:cs="仿宋_GB2312"/>
                <w:sz w:val="24"/>
                <w:szCs w:val="24"/>
                <w:lang w:val="en-US" w:eastAsia="zh-CN"/>
              </w:rPr>
              <w:t>4.</w:t>
            </w:r>
            <w:r>
              <w:rPr>
                <w:rFonts w:hint="eastAsia" w:ascii="仿宋_GB2312" w:hAnsi="仿宋_GB2312" w:eastAsia="仿宋_GB2312" w:cs="仿宋_GB2312"/>
                <w:spacing w:val="-6"/>
                <w:sz w:val="24"/>
                <w:szCs w:val="24"/>
                <w:lang w:val="en-US" w:eastAsia="zh-CN"/>
              </w:rPr>
              <w:t>政务信息无障碍。加快政府门户网站、政务服务平台和网上办事大厅信息无障碍建设。</w:t>
            </w:r>
          </w:p>
          <w:p>
            <w:pPr>
              <w:pStyle w:val="44"/>
              <w:keepNext w:val="0"/>
              <w:keepLines w:val="0"/>
              <w:pageBreakBefore w:val="0"/>
              <w:widowControl w:val="0"/>
              <w:tabs>
                <w:tab w:val="left" w:pos="782"/>
              </w:tabs>
              <w:kinsoku/>
              <w:wordWrap/>
              <w:overflowPunct/>
              <w:topLinePunct w:val="0"/>
              <w:autoSpaceDE/>
              <w:autoSpaceDN/>
              <w:bidi w:val="0"/>
              <w:adjustRightInd/>
              <w:snapToGrid w:val="0"/>
              <w:spacing w:line="460" w:lineRule="exact"/>
              <w:ind w:firstLine="480" w:firstLineChars="200"/>
              <w:jc w:val="both"/>
              <w:textAlignment w:val="auto"/>
              <w:outlineLvl w:val="9"/>
              <w:rPr>
                <w:rFonts w:ascii="仿宋_GB2312" w:hAnsi="仿宋_GB2312" w:eastAsia="仿宋_GB2312" w:cs="仿宋_GB2312"/>
                <w:sz w:val="24"/>
                <w:szCs w:val="24"/>
                <w:lang w:val="en-US" w:eastAsia="zh-CN"/>
              </w:rPr>
            </w:pPr>
            <w:r>
              <w:rPr>
                <w:rFonts w:ascii="仿宋_GB2312" w:hAnsi="仿宋_GB2312" w:eastAsia="仿宋_GB2312" w:cs="仿宋_GB2312"/>
                <w:sz w:val="24"/>
                <w:szCs w:val="24"/>
                <w:lang w:val="en-US" w:eastAsia="zh-CN"/>
              </w:rPr>
              <w:t>5.</w:t>
            </w:r>
            <w:r>
              <w:rPr>
                <w:rFonts w:hint="eastAsia" w:ascii="仿宋_GB2312" w:hAnsi="仿宋_GB2312" w:eastAsia="仿宋_GB2312" w:cs="仿宋_GB2312"/>
                <w:sz w:val="24"/>
                <w:szCs w:val="24"/>
                <w:lang w:val="en-US" w:eastAsia="zh-CN"/>
              </w:rPr>
              <w:t>生活服务无障碍。提升售卖、就医、银行柜机、检票等自助公共服务设备的无障碍改造。</w:t>
            </w:r>
          </w:p>
          <w:p>
            <w:pPr>
              <w:pStyle w:val="44"/>
              <w:keepNext w:val="0"/>
              <w:keepLines w:val="0"/>
              <w:pageBreakBefore w:val="0"/>
              <w:widowControl w:val="0"/>
              <w:tabs>
                <w:tab w:val="left" w:pos="782"/>
              </w:tabs>
              <w:kinsoku/>
              <w:wordWrap/>
              <w:overflowPunct/>
              <w:topLinePunct w:val="0"/>
              <w:autoSpaceDE/>
              <w:autoSpaceDN/>
              <w:bidi w:val="0"/>
              <w:adjustRightInd/>
              <w:snapToGrid w:val="0"/>
              <w:spacing w:line="460" w:lineRule="exact"/>
              <w:ind w:firstLine="480" w:firstLineChars="200"/>
              <w:jc w:val="both"/>
              <w:textAlignment w:val="auto"/>
              <w:outlineLvl w:val="9"/>
              <w:rPr>
                <w:sz w:val="24"/>
                <w:szCs w:val="24"/>
              </w:rPr>
            </w:pPr>
            <w:r>
              <w:rPr>
                <w:rFonts w:ascii="仿宋_GB2312" w:hAnsi="仿宋_GB2312" w:eastAsia="仿宋_GB2312" w:cs="仿宋_GB2312"/>
                <w:sz w:val="24"/>
                <w:szCs w:val="24"/>
                <w:lang w:val="en-US" w:eastAsia="zh-CN"/>
              </w:rPr>
              <w:t>6.</w:t>
            </w:r>
            <w:r>
              <w:rPr>
                <w:rFonts w:hint="eastAsia" w:ascii="仿宋_GB2312" w:hAnsi="仿宋_GB2312" w:eastAsia="仿宋_GB2312" w:cs="仿宋_GB2312"/>
                <w:sz w:val="24"/>
                <w:szCs w:val="24"/>
                <w:lang w:val="en-US" w:eastAsia="zh-CN"/>
              </w:rPr>
              <w:t>无障碍服务。政府新闻发布会和电视、网络发布突发公共事件信息时加配字幕和手语</w:t>
            </w:r>
            <w:r>
              <w:rPr>
                <w:rFonts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lang w:val="en-US" w:eastAsia="zh-CN"/>
              </w:rPr>
              <w:t>医院、疏散避险场所和集中隔高场所等设置语音、字幕等信息提示装置。鼓励听力、言语残疾人无障碍信息服务平台建设。</w:t>
            </w:r>
          </w:p>
        </w:tc>
      </w:tr>
    </w:tbl>
    <w:p>
      <w:pPr>
        <w:pageBreakBefore w:val="0"/>
        <w:widowControl w:val="0"/>
        <w:wordWrap/>
        <w:overflowPunct/>
        <w:topLinePunct w:val="0"/>
        <w:bidi w:val="0"/>
        <w:snapToGrid w:val="0"/>
        <w:spacing w:line="500" w:lineRule="exact"/>
        <w:ind w:firstLine="480" w:firstLineChars="200"/>
        <w:outlineLvl w:val="9"/>
        <w:rPr>
          <w:rFonts w:hint="eastAsia" w:ascii="仿宋_GB2312" w:hAnsi="仿宋" w:eastAsia="仿宋_GB2312" w:cs="仿宋"/>
          <w:color w:val="000000"/>
          <w:kern w:val="0"/>
          <w:sz w:val="24"/>
          <w:szCs w:val="24"/>
          <w:lang w:val="zh-TW" w:eastAsia="zh-TW"/>
        </w:rPr>
        <w:sectPr>
          <w:type w:val="continuous"/>
          <w:pgSz w:w="12240" w:h="16498"/>
          <w:pgMar w:top="1145" w:right="1389" w:bottom="1134" w:left="1389" w:header="1043" w:footer="992" w:gutter="0"/>
          <w:pgNumType w:fmt="decimal"/>
          <w:cols w:space="425" w:num="1"/>
          <w:rtlGutter w:val="0"/>
          <w:docGrid w:type="lines" w:linePitch="312" w:charSpace="0"/>
        </w:sectPr>
      </w:pPr>
    </w:p>
    <w:p>
      <w:pPr>
        <w:pageBreakBefore w:val="0"/>
        <w:widowControl w:val="0"/>
        <w:kinsoku/>
        <w:wordWrap/>
        <w:overflowPunct/>
        <w:topLinePunct w:val="0"/>
        <w:autoSpaceDE/>
        <w:autoSpaceDN/>
        <w:bidi w:val="0"/>
        <w:adjustRightInd/>
        <w:snapToGrid w:val="0"/>
        <w:spacing w:line="460" w:lineRule="exact"/>
        <w:ind w:firstLine="480" w:firstLineChars="200"/>
        <w:textAlignment w:val="auto"/>
        <w:outlineLvl w:val="9"/>
        <w:rPr>
          <w:rFonts w:ascii="仿宋" w:hAnsi="仿宋" w:eastAsia="仿宋" w:cs="仿宋"/>
          <w:sz w:val="24"/>
          <w:szCs w:val="24"/>
        </w:rPr>
      </w:pPr>
      <w:r>
        <w:rPr>
          <w:rFonts w:hint="eastAsia" w:ascii="仿宋_GB2312" w:hAnsi="仿宋" w:eastAsia="仿宋_GB2312" w:cs="仿宋"/>
          <w:color w:val="000000"/>
          <w:kern w:val="0"/>
          <w:sz w:val="24"/>
          <w:szCs w:val="24"/>
          <w:lang w:val="zh-TW" w:eastAsia="zh-TW"/>
        </w:rPr>
        <w:t>营造扶残助残文明社会氛围。坚持以社会主义核心价值观为引领</w:t>
      </w:r>
      <w:r>
        <w:rPr>
          <w:rFonts w:ascii="仿宋_GB2312" w:hAnsi="仿宋" w:eastAsia="仿宋_GB2312" w:cs="仿宋"/>
          <w:color w:val="000000"/>
          <w:kern w:val="0"/>
          <w:sz w:val="24"/>
          <w:szCs w:val="24"/>
          <w:lang w:val="zh-TW" w:eastAsia="zh-TW"/>
        </w:rPr>
        <w:t>,</w:t>
      </w:r>
      <w:r>
        <w:rPr>
          <w:rFonts w:hint="eastAsia" w:ascii="仿宋_GB2312" w:hAnsi="仿宋" w:eastAsia="仿宋_GB2312" w:cs="仿宋"/>
          <w:color w:val="000000"/>
          <w:kern w:val="0"/>
          <w:sz w:val="24"/>
          <w:szCs w:val="24"/>
          <w:lang w:val="zh-TW" w:eastAsia="zh-TW"/>
        </w:rPr>
        <w:t>围绕举旗帜、聚民心、育新人、兴文化、展形象的使命任务，大力宣传残疾人事业发展成果</w:t>
      </w:r>
      <w:r>
        <w:rPr>
          <w:rFonts w:ascii="仿宋_GB2312" w:hAnsi="仿宋" w:eastAsia="仿宋_GB2312" w:cs="仿宋"/>
          <w:color w:val="000000"/>
          <w:kern w:val="0"/>
          <w:sz w:val="24"/>
          <w:szCs w:val="24"/>
          <w:lang w:val="zh-TW" w:eastAsia="zh-TW"/>
        </w:rPr>
        <w:t>,</w:t>
      </w:r>
      <w:r>
        <w:rPr>
          <w:rFonts w:hint="eastAsia" w:ascii="仿宋_GB2312" w:hAnsi="仿宋" w:eastAsia="仿宋_GB2312" w:cs="仿宋"/>
          <w:color w:val="000000"/>
          <w:kern w:val="0"/>
          <w:sz w:val="24"/>
          <w:szCs w:val="24"/>
          <w:lang w:val="zh-TW" w:eastAsia="zh-TW"/>
        </w:rPr>
        <w:t>开展自强模范、助残先进评选表彰活动。将扶残助残纳入公民道德建设、文明创建活动和新时代文明实践中心建设，弘扬扶残助残和自强不息传统美德，营造全社会理解、尊重、关心、帮助残疾人的文明社会氛围。</w:t>
      </w:r>
      <w:r>
        <w:rPr>
          <w:rFonts w:ascii="仿宋_GB2312" w:hAnsi="仿宋" w:eastAsia="仿宋_GB2312" w:cs="仿宋"/>
          <w:color w:val="000000"/>
          <w:kern w:val="0"/>
          <w:sz w:val="24"/>
          <w:szCs w:val="24"/>
          <w:lang w:val="zh-TW" w:eastAsia="zh-TW"/>
        </w:rPr>
        <w:t>(</w:t>
      </w:r>
      <w:r>
        <w:rPr>
          <w:rFonts w:hint="eastAsia" w:ascii="仿宋_GB2312" w:hAnsi="仿宋" w:eastAsia="仿宋_GB2312" w:cs="仿宋"/>
          <w:color w:val="000000"/>
          <w:kern w:val="0"/>
          <w:sz w:val="24"/>
          <w:szCs w:val="24"/>
          <w:lang w:val="zh-TW" w:eastAsia="zh-TW"/>
        </w:rPr>
        <w:t>牵头单位</w:t>
      </w:r>
      <w:r>
        <w:rPr>
          <w:rFonts w:ascii="仿宋_GB2312" w:hAnsi="仿宋" w:eastAsia="仿宋_GB2312" w:cs="仿宋"/>
          <w:color w:val="000000"/>
          <w:kern w:val="0"/>
          <w:sz w:val="24"/>
          <w:szCs w:val="24"/>
          <w:lang w:val="zh-TW" w:eastAsia="zh-TW"/>
        </w:rPr>
        <w:t>:</w:t>
      </w:r>
      <w:r>
        <w:rPr>
          <w:rFonts w:hint="eastAsia" w:ascii="仿宋_GB2312" w:hAnsi="仿宋" w:eastAsia="仿宋_GB2312" w:cs="仿宋"/>
          <w:color w:val="000000"/>
          <w:kern w:val="0"/>
          <w:sz w:val="24"/>
          <w:szCs w:val="24"/>
          <w:lang w:val="zh-TW" w:eastAsia="zh-TW"/>
        </w:rPr>
        <w:t>市委宣传部</w:t>
      </w:r>
      <w:r>
        <w:rPr>
          <w:rFonts w:hint="eastAsia" w:ascii="仿宋_GB2312" w:hAnsi="仿宋" w:eastAsia="仿宋_GB2312" w:cs="仿宋"/>
          <w:color w:val="000000"/>
          <w:kern w:val="0"/>
          <w:sz w:val="24"/>
          <w:szCs w:val="24"/>
          <w:lang w:val="zh-TW"/>
        </w:rPr>
        <w:t>；配合单位</w:t>
      </w:r>
      <w:r>
        <w:rPr>
          <w:rFonts w:ascii="仿宋_GB2312" w:hAnsi="仿宋" w:eastAsia="仿宋_GB2312" w:cs="仿宋"/>
          <w:color w:val="000000"/>
          <w:kern w:val="0"/>
          <w:sz w:val="24"/>
          <w:szCs w:val="24"/>
          <w:lang w:val="zh-TW" w:eastAsia="zh-TW"/>
        </w:rPr>
        <w:t xml:space="preserve">: </w:t>
      </w:r>
      <w:r>
        <w:rPr>
          <w:rFonts w:hint="eastAsia" w:ascii="仿宋_GB2312" w:hAnsi="仿宋" w:eastAsia="仿宋_GB2312" w:cs="仿宋"/>
          <w:color w:val="000000"/>
          <w:kern w:val="0"/>
          <w:sz w:val="24"/>
          <w:szCs w:val="24"/>
          <w:lang w:val="zh-TW" w:eastAsia="zh-TW"/>
        </w:rPr>
        <w:t>市文明办、市人社局、市融媒体中心、市残联</w:t>
      </w:r>
      <w:r>
        <w:rPr>
          <w:rFonts w:ascii="仿宋_GB2312" w:hAnsi="仿宋" w:eastAsia="仿宋_GB2312" w:cs="仿宋"/>
          <w:color w:val="000000"/>
          <w:kern w:val="0"/>
          <w:sz w:val="24"/>
          <w:szCs w:val="24"/>
          <w:lang w:val="zh-TW" w:eastAsia="zh-TW"/>
        </w:rPr>
        <w:t>)</w:t>
      </w:r>
    </w:p>
    <w:p>
      <w:pPr>
        <w:pStyle w:val="5"/>
        <w:pageBreakBefore w:val="0"/>
        <w:widowControl w:val="0"/>
        <w:kinsoku/>
        <w:wordWrap/>
        <w:overflowPunct/>
        <w:topLinePunct w:val="0"/>
        <w:autoSpaceDE/>
        <w:autoSpaceDN/>
        <w:bidi w:val="0"/>
        <w:adjustRightInd/>
        <w:snapToGrid w:val="0"/>
        <w:spacing w:line="460" w:lineRule="exact"/>
        <w:textAlignment w:val="auto"/>
      </w:pPr>
      <w:r>
        <w:rPr>
          <w:rFonts w:hint="eastAsia"/>
        </w:rPr>
        <w:t>（六）加强基础设施和信息化建设，促进残疾人事业高质量发展。</w:t>
      </w:r>
    </w:p>
    <w:p>
      <w:pPr>
        <w:pStyle w:val="42"/>
        <w:pageBreakBefore w:val="0"/>
        <w:widowControl w:val="0"/>
        <w:kinsoku/>
        <w:wordWrap/>
        <w:overflowPunct/>
        <w:topLinePunct w:val="0"/>
        <w:autoSpaceDE/>
        <w:autoSpaceDN/>
        <w:bidi w:val="0"/>
        <w:adjustRightInd/>
        <w:snapToGrid w:val="0"/>
        <w:spacing w:after="0" w:line="460" w:lineRule="exact"/>
        <w:ind w:firstLine="480" w:firstLineChars="200"/>
        <w:jc w:val="both"/>
        <w:textAlignment w:val="auto"/>
        <w:outlineLvl w:val="9"/>
        <w:rPr>
          <w:rFonts w:hint="eastAsia" w:ascii="仿宋_GB2312" w:hAnsi="仿宋" w:eastAsia="仿宋_GB2312" w:cs="仿宋"/>
          <w:sz w:val="24"/>
          <w:szCs w:val="24"/>
          <w:lang w:eastAsia="zh-CN"/>
        </w:rPr>
      </w:pPr>
      <w:r>
        <w:rPr>
          <w:rFonts w:hint="eastAsia" w:ascii="仿宋_GB2312" w:hAnsi="仿宋" w:eastAsia="仿宋_GB2312" w:cs="仿宋"/>
          <w:sz w:val="24"/>
          <w:szCs w:val="24"/>
        </w:rPr>
        <w:t>推动残疾人康复和托养设施建设。创新设施运营和服务供给模式，支持公建公营、公办合作经营，鼓励公建民营、混合经营等方式，推动残疾人服务设施的有效运营，发挥使用效益，切实增强服务能力。加强特殊教育学校、残疾人服务设施和基层残疾人组织的信息基础设施建设。持续开展</w:t>
      </w:r>
      <w:r>
        <w:rPr>
          <w:rFonts w:hint="eastAsia" w:ascii="仿宋_GB2312" w:hAnsi="仿宋" w:eastAsia="仿宋_GB2312" w:cs="仿宋"/>
          <w:sz w:val="24"/>
          <w:szCs w:val="24"/>
          <w:lang w:val="zh-CN" w:eastAsia="zh-CN"/>
        </w:rPr>
        <w:t>“全国</w:t>
      </w:r>
      <w:r>
        <w:rPr>
          <w:rFonts w:hint="eastAsia" w:ascii="仿宋_GB2312" w:hAnsi="仿宋" w:eastAsia="仿宋_GB2312" w:cs="仿宋"/>
          <w:sz w:val="24"/>
          <w:szCs w:val="24"/>
        </w:rPr>
        <w:t>持证残疾人基本状况调查”工作，完善残疾人口基础数据，加强对基本状况的调查评估和成果转化应用，推进数据信息资源共享和服务精准化。（牵头单位：市残联；配合单位：市</w:t>
      </w:r>
      <w:r>
        <w:rPr>
          <w:rFonts w:hint="eastAsia" w:ascii="仿宋_GB2312" w:hAnsi="仿宋" w:eastAsia="仿宋_GB2312" w:cs="仿宋"/>
          <w:sz w:val="24"/>
          <w:szCs w:val="24"/>
          <w:lang w:eastAsia="zh-CN"/>
        </w:rPr>
        <w:t>发展改革局</w:t>
      </w:r>
      <w:r>
        <w:rPr>
          <w:rFonts w:hint="eastAsia" w:ascii="仿宋_GB2312" w:hAnsi="仿宋" w:eastAsia="仿宋_GB2312" w:cs="仿宋"/>
          <w:sz w:val="24"/>
          <w:szCs w:val="24"/>
        </w:rPr>
        <w:t>、财政局、</w:t>
      </w:r>
      <w:r>
        <w:rPr>
          <w:rFonts w:hint="eastAsia" w:ascii="仿宋_GB2312" w:hAnsi="仿宋" w:eastAsia="仿宋_GB2312" w:cs="仿宋"/>
          <w:sz w:val="24"/>
          <w:szCs w:val="24"/>
          <w:lang w:eastAsia="zh-CN"/>
        </w:rPr>
        <w:t>卫生健康和体育局</w:t>
      </w:r>
      <w:r>
        <w:rPr>
          <w:rFonts w:hint="eastAsia" w:ascii="仿宋_GB2312" w:hAnsi="仿宋" w:eastAsia="仿宋_GB2312" w:cs="仿宋"/>
          <w:sz w:val="24"/>
          <w:szCs w:val="24"/>
        </w:rPr>
        <w:t>、行政审批局、财政局、统计局）</w:t>
      </w:r>
    </w:p>
    <w:p>
      <w:pPr>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黑体" w:hAnsi="黑体" w:eastAsia="黑体" w:cs="黑体"/>
          <w:sz w:val="28"/>
          <w:szCs w:val="28"/>
        </w:rPr>
        <w:sectPr>
          <w:type w:val="continuous"/>
          <w:pgSz w:w="12240" w:h="16498"/>
          <w:pgMar w:top="1145" w:right="1389" w:bottom="1134" w:left="1389" w:header="1043" w:footer="992" w:gutter="0"/>
          <w:pgNumType w:fmt="decimal"/>
          <w:cols w:equalWidth="0" w:num="2">
            <w:col w:w="4518" w:space="425"/>
            <w:col w:w="4518"/>
          </w:cols>
          <w:rtlGutter w:val="0"/>
          <w:docGrid w:type="lines" w:linePitch="312" w:charSpace="0"/>
        </w:sectPr>
      </w:pPr>
    </w:p>
    <w:tbl>
      <w:tblPr>
        <w:tblStyle w:val="18"/>
        <w:tblW w:w="94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9482"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wordWrap/>
              <w:overflowPunct/>
              <w:topLinePunct w:val="0"/>
              <w:bidi w:val="0"/>
              <w:snapToGrid w:val="0"/>
              <w:spacing w:line="500" w:lineRule="exact"/>
              <w:jc w:val="center"/>
              <w:outlineLvl w:val="9"/>
              <w:rPr>
                <w:sz w:val="24"/>
                <w:szCs w:val="24"/>
              </w:rPr>
            </w:pPr>
            <w:r>
              <w:rPr>
                <w:rFonts w:hint="eastAsia" w:ascii="黑体" w:hAnsi="黑体" w:eastAsia="黑体" w:cs="黑体"/>
                <w:sz w:val="28"/>
                <w:szCs w:val="28"/>
              </w:rPr>
              <w:t>专栏</w:t>
            </w:r>
            <w:r>
              <w:rPr>
                <w:rFonts w:ascii="黑体" w:hAnsi="黑体" w:eastAsia="黑体" w:cs="黑体"/>
                <w:sz w:val="28"/>
                <w:szCs w:val="28"/>
              </w:rPr>
              <w:t>9</w:t>
            </w:r>
            <w:r>
              <w:rPr>
                <w:rFonts w:hint="eastAsia" w:ascii="黑体" w:hAnsi="黑体" w:eastAsia="黑体" w:cs="黑体"/>
                <w:sz w:val="28"/>
                <w:szCs w:val="28"/>
              </w:rPr>
              <w:t xml:space="preserve">  基础设施、信息化重点项目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outlineLvl w:val="9"/>
              <w:rPr>
                <w:rFonts w:ascii="仿宋_GB2312" w:hAnsi="仿宋_GB2312" w:eastAsia="仿宋_GB2312" w:cs="仿宋_GB2312"/>
                <w:sz w:val="24"/>
                <w:szCs w:val="24"/>
              </w:rPr>
            </w:pPr>
            <w:r>
              <w:rPr>
                <w:rFonts w:ascii="仿宋_GB2312" w:hAnsi="仿宋_GB2312" w:eastAsia="仿宋_GB2312" w:cs="仿宋_GB2312"/>
                <w:sz w:val="24"/>
                <w:szCs w:val="24"/>
              </w:rPr>
              <w:t>1.</w:t>
            </w:r>
            <w:r>
              <w:rPr>
                <w:rFonts w:hint="eastAsia" w:ascii="仿宋_GB2312" w:hAnsi="仿宋_GB2312" w:eastAsia="仿宋_GB2312" w:cs="仿宋_GB2312"/>
                <w:sz w:val="24"/>
                <w:szCs w:val="24"/>
              </w:rPr>
              <w:t>残疾人服务设施兜底线工程项目。推动残疾人康复、托养设施的建设。</w:t>
            </w:r>
          </w:p>
          <w:p>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outlineLvl w:val="9"/>
              <w:rPr>
                <w:rFonts w:ascii="仿宋_GB2312" w:hAnsi="仿宋_GB2312" w:eastAsia="仿宋_GB2312" w:cs="仿宋_GB2312"/>
                <w:sz w:val="24"/>
                <w:szCs w:val="24"/>
              </w:rPr>
            </w:pPr>
            <w:r>
              <w:rPr>
                <w:rFonts w:ascii="仿宋_GB2312" w:hAnsi="仿宋_GB2312" w:eastAsia="仿宋_GB2312" w:cs="仿宋_GB2312"/>
                <w:sz w:val="24"/>
                <w:szCs w:val="24"/>
              </w:rPr>
              <w:t>2.</w:t>
            </w:r>
            <w:r>
              <w:rPr>
                <w:rFonts w:hint="eastAsia" w:ascii="仿宋_GB2312" w:hAnsi="仿宋_GB2312" w:eastAsia="仿宋_GB2312" w:cs="仿宋_GB2312"/>
                <w:sz w:val="24"/>
                <w:szCs w:val="24"/>
              </w:rPr>
              <w:t>特殊教育学校提升项目。强化市特殊教育学校建设，加强特殊教育教师队伍建设，提高特殊教育质量和水平。</w:t>
            </w:r>
          </w:p>
          <w:p>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outlineLvl w:val="9"/>
              <w:rPr>
                <w:rFonts w:ascii="仿宋_GB2312" w:hAnsi="仿宋_GB2312" w:eastAsia="仿宋_GB2312" w:cs="仿宋_GB2312"/>
                <w:sz w:val="24"/>
                <w:szCs w:val="24"/>
              </w:rPr>
            </w:pPr>
            <w:r>
              <w:rPr>
                <w:rFonts w:ascii="仿宋_GB2312" w:hAnsi="仿宋_GB2312" w:eastAsia="仿宋_GB2312" w:cs="仿宋_GB2312"/>
                <w:sz w:val="24"/>
                <w:szCs w:val="24"/>
              </w:rPr>
              <w:t>3.</w:t>
            </w:r>
            <w:r>
              <w:rPr>
                <w:rFonts w:hint="eastAsia" w:ascii="仿宋_GB2312" w:hAnsi="仿宋_GB2312" w:eastAsia="仿宋_GB2312" w:cs="仿宋_GB2312"/>
                <w:sz w:val="24"/>
                <w:szCs w:val="24"/>
              </w:rPr>
              <w:t>精神卫生福利设施建设项目。建立完善精神卫生社会福利机构布局，加强精神卫生福利设施建设，逐步形成布局合理、功能完善的精神卫生福利设施体系，为困难精神障碍患者提供集中照护、康复服务。</w:t>
            </w:r>
          </w:p>
          <w:p>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outlineLvl w:val="9"/>
              <w:rPr>
                <w:rFonts w:ascii="仿宋_GB2312" w:hAnsi="仿宋_GB2312" w:eastAsia="仿宋_GB2312" w:cs="仿宋_GB2312"/>
                <w:sz w:val="24"/>
                <w:szCs w:val="24"/>
              </w:rPr>
            </w:pPr>
            <w:r>
              <w:rPr>
                <w:rFonts w:ascii="仿宋_GB2312" w:hAnsi="仿宋_GB2312" w:eastAsia="仿宋_GB2312" w:cs="仿宋_GB2312"/>
                <w:sz w:val="24"/>
                <w:szCs w:val="24"/>
              </w:rPr>
              <w:t>4.</w:t>
            </w:r>
            <w:r>
              <w:rPr>
                <w:rFonts w:hint="eastAsia" w:ascii="仿宋_GB2312" w:hAnsi="仿宋_GB2312" w:eastAsia="仿宋_GB2312" w:cs="仿宋_GB2312"/>
                <w:sz w:val="24"/>
                <w:szCs w:val="24"/>
              </w:rPr>
              <w:t>互联网康复项目。利用线上线下相结合的康复服务平台，为基层康复机构、残疾人、残疾儿童少年及其家长提供指导和服务。</w:t>
            </w:r>
          </w:p>
          <w:p>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outlineLvl w:val="9"/>
              <w:rPr>
                <w:sz w:val="24"/>
                <w:szCs w:val="24"/>
              </w:rPr>
            </w:pPr>
            <w:r>
              <w:rPr>
                <w:rFonts w:ascii="仿宋_GB2312" w:hAnsi="仿宋_GB2312" w:eastAsia="仿宋_GB2312" w:cs="仿宋_GB2312"/>
                <w:sz w:val="24"/>
                <w:szCs w:val="24"/>
              </w:rPr>
              <w:t>5.</w:t>
            </w:r>
            <w:r>
              <w:rPr>
                <w:rFonts w:hint="eastAsia" w:ascii="仿宋_GB2312" w:hAnsi="仿宋_GB2312" w:eastAsia="仿宋_GB2312" w:cs="仿宋_GB2312"/>
                <w:sz w:val="24"/>
                <w:szCs w:val="24"/>
              </w:rPr>
              <w:t>残疾人就业创业网络服务平台项目。利用好山西省残疾人就业创业网络服务平台、全国残疾人职业技能培训管理系统、残疾人就业服务管理系统、残疾人按比例就业情况联网认证系统和盲人医疗按摩人员管理系统相关数据信息。</w:t>
            </w:r>
          </w:p>
        </w:tc>
      </w:tr>
    </w:tbl>
    <w:p>
      <w:pPr>
        <w:pageBreakBefore w:val="0"/>
        <w:widowControl w:val="0"/>
        <w:kinsoku w:val="0"/>
        <w:wordWrap/>
        <w:overflowPunct/>
        <w:topLinePunct w:val="0"/>
        <w:autoSpaceDE w:val="0"/>
        <w:autoSpaceDN w:val="0"/>
        <w:bidi w:val="0"/>
        <w:adjustRightInd w:val="0"/>
        <w:snapToGrid w:val="0"/>
        <w:spacing w:line="500" w:lineRule="exact"/>
        <w:textAlignment w:val="baseline"/>
        <w:outlineLvl w:val="9"/>
        <w:rPr>
          <w:rFonts w:hint="eastAsia" w:ascii="黑体" w:hAnsi="黑体" w:eastAsia="黑体" w:cs="黑体"/>
          <w:spacing w:val="5"/>
          <w:sz w:val="26"/>
          <w:szCs w:val="26"/>
        </w:rPr>
        <w:sectPr>
          <w:type w:val="continuous"/>
          <w:pgSz w:w="12240" w:h="16498"/>
          <w:pgMar w:top="1145" w:right="1389" w:bottom="1134" w:left="1389" w:header="1043" w:footer="992" w:gutter="0"/>
          <w:pgNumType w:fmt="decimal"/>
          <w:cols w:space="425" w:num="1"/>
          <w:rtlGutter w:val="0"/>
          <w:docGrid w:type="lines" w:linePitch="312" w:charSpace="0"/>
        </w:sectPr>
      </w:pPr>
    </w:p>
    <w:p>
      <w:pPr>
        <w:keepNext w:val="0"/>
        <w:keepLines w:val="0"/>
        <w:pageBreakBefore w:val="0"/>
        <w:widowControl w:val="0"/>
        <w:kinsoku w:val="0"/>
        <w:wordWrap/>
        <w:overflowPunct/>
        <w:topLinePunct w:val="0"/>
        <w:autoSpaceDE w:val="0"/>
        <w:autoSpaceDN w:val="0"/>
        <w:bidi w:val="0"/>
        <w:adjustRightInd w:val="0"/>
        <w:snapToGrid w:val="0"/>
        <w:spacing w:line="496" w:lineRule="exact"/>
        <w:textAlignment w:val="baseline"/>
        <w:outlineLvl w:val="9"/>
        <w:rPr>
          <w:rFonts w:ascii="黑体" w:hAnsi="黑体" w:eastAsia="黑体" w:cs="黑体"/>
          <w:spacing w:val="5"/>
          <w:sz w:val="26"/>
          <w:szCs w:val="26"/>
        </w:rPr>
      </w:pPr>
      <w:r>
        <w:rPr>
          <w:rFonts w:hint="eastAsia" w:ascii="黑体" w:hAnsi="黑体" w:eastAsia="黑体" w:cs="黑体"/>
          <w:spacing w:val="5"/>
          <w:sz w:val="26"/>
          <w:szCs w:val="26"/>
        </w:rPr>
        <w:t>三、保障措施</w:t>
      </w:r>
    </w:p>
    <w:p>
      <w:pPr>
        <w:pStyle w:val="5"/>
        <w:keepNext w:val="0"/>
        <w:keepLines w:val="0"/>
        <w:pageBreakBefore w:val="0"/>
        <w:widowControl w:val="0"/>
        <w:wordWrap/>
        <w:overflowPunct/>
        <w:topLinePunct w:val="0"/>
        <w:bidi w:val="0"/>
        <w:snapToGrid w:val="0"/>
        <w:spacing w:line="496" w:lineRule="exact"/>
      </w:pPr>
      <w:r>
        <w:rPr>
          <w:rFonts w:hint="eastAsia"/>
        </w:rPr>
        <w:t>（一）强化残疾人事业领导体制。</w:t>
      </w:r>
    </w:p>
    <w:p>
      <w:pPr>
        <w:keepNext w:val="0"/>
        <w:keepLines w:val="0"/>
        <w:pageBreakBefore w:val="0"/>
        <w:widowControl w:val="0"/>
        <w:kinsoku/>
        <w:wordWrap/>
        <w:overflowPunct/>
        <w:topLinePunct w:val="0"/>
        <w:autoSpaceDE/>
        <w:autoSpaceDN/>
        <w:bidi w:val="0"/>
        <w:adjustRightInd/>
        <w:snapToGrid w:val="0"/>
        <w:spacing w:line="496" w:lineRule="exact"/>
        <w:ind w:firstLine="480" w:firstLineChars="200"/>
        <w:textAlignment w:val="auto"/>
        <w:outlineLvl w:val="9"/>
        <w:rPr>
          <w:rFonts w:ascii="仿宋_GB2312" w:hAnsi="仿宋" w:eastAsia="仿宋_GB2312" w:cs="仿宋"/>
          <w:sz w:val="24"/>
          <w:szCs w:val="24"/>
        </w:rPr>
      </w:pPr>
      <w:r>
        <w:rPr>
          <w:rFonts w:hint="eastAsia" w:ascii="仿宋_GB2312" w:hAnsi="仿宋" w:eastAsia="仿宋_GB2312" w:cs="仿宋"/>
          <w:sz w:val="24"/>
          <w:szCs w:val="24"/>
        </w:rPr>
        <w:t>加强党对残疾人工作的领导，确保习近平总书记关于残疾人事业的重要指示批示精神，党中央、国务院，山西省委、省政府</w:t>
      </w:r>
      <w:r>
        <w:rPr>
          <w:rFonts w:ascii="仿宋_GB2312" w:hAnsi="仿宋" w:eastAsia="仿宋_GB2312" w:cs="仿宋"/>
          <w:sz w:val="24"/>
          <w:szCs w:val="24"/>
        </w:rPr>
        <w:t>,</w:t>
      </w:r>
      <w:r>
        <w:rPr>
          <w:rFonts w:hint="eastAsia" w:ascii="仿宋_GB2312" w:hAnsi="仿宋" w:eastAsia="仿宋_GB2312" w:cs="仿宋"/>
          <w:sz w:val="24"/>
          <w:szCs w:val="24"/>
        </w:rPr>
        <w:t>忻州市委、市政府和原平市委、市政府的决策部署有效落实，为残疾人事业发展提供坚强政治保障。完善党委领导、政府负责、部门协同、社会参与、市场推动、残疾人组织充分发挥作用的领导体制和工作机制。市政府残疾人工作委员会统筹协调</w:t>
      </w:r>
      <w:r>
        <w:rPr>
          <w:rFonts w:ascii="仿宋_GB2312" w:hAnsi="仿宋" w:eastAsia="仿宋_GB2312" w:cs="仿宋"/>
          <w:sz w:val="24"/>
          <w:szCs w:val="24"/>
        </w:rPr>
        <w:t>,</w:t>
      </w:r>
      <w:r>
        <w:rPr>
          <w:rFonts w:hint="eastAsia" w:ascii="仿宋_GB2312" w:hAnsi="仿宋" w:eastAsia="仿宋_GB2312" w:cs="仿宋"/>
          <w:sz w:val="24"/>
          <w:szCs w:val="24"/>
        </w:rPr>
        <w:t>有关部门分工协作</w:t>
      </w:r>
      <w:r>
        <w:rPr>
          <w:rFonts w:ascii="仿宋_GB2312" w:hAnsi="仿宋" w:eastAsia="仿宋_GB2312" w:cs="仿宋"/>
          <w:sz w:val="24"/>
          <w:szCs w:val="24"/>
        </w:rPr>
        <w:t>,</w:t>
      </w:r>
      <w:r>
        <w:rPr>
          <w:rFonts w:hint="eastAsia" w:ascii="仿宋_GB2312" w:hAnsi="仿宋" w:eastAsia="仿宋_GB2312" w:cs="仿宋"/>
          <w:sz w:val="24"/>
          <w:szCs w:val="24"/>
        </w:rPr>
        <w:t>履职尽责</w:t>
      </w:r>
      <w:r>
        <w:rPr>
          <w:rFonts w:ascii="仿宋_GB2312" w:hAnsi="仿宋" w:eastAsia="仿宋_GB2312" w:cs="仿宋"/>
          <w:sz w:val="24"/>
          <w:szCs w:val="24"/>
        </w:rPr>
        <w:t>,</w:t>
      </w:r>
      <w:r>
        <w:rPr>
          <w:rFonts w:hint="eastAsia" w:ascii="仿宋_GB2312" w:hAnsi="仿宋" w:eastAsia="仿宋_GB2312" w:cs="仿宋"/>
          <w:sz w:val="24"/>
          <w:szCs w:val="24"/>
        </w:rPr>
        <w:t>形成协同高效的工作合力。</w:t>
      </w:r>
      <w:r>
        <w:rPr>
          <w:rFonts w:ascii="仿宋_GB2312" w:hAnsi="仿宋" w:eastAsia="仿宋_GB2312" w:cs="仿宋"/>
          <w:sz w:val="24"/>
          <w:szCs w:val="24"/>
        </w:rPr>
        <w:t>(</w:t>
      </w:r>
      <w:r>
        <w:rPr>
          <w:rFonts w:hint="eastAsia" w:ascii="仿宋_GB2312" w:hAnsi="仿宋" w:eastAsia="仿宋_GB2312" w:cs="仿宋"/>
          <w:sz w:val="24"/>
          <w:szCs w:val="24"/>
        </w:rPr>
        <w:t>牵头单位</w:t>
      </w:r>
      <w:r>
        <w:rPr>
          <w:rFonts w:ascii="仿宋_GB2312" w:hAnsi="仿宋" w:eastAsia="仿宋_GB2312" w:cs="仿宋"/>
          <w:sz w:val="24"/>
          <w:szCs w:val="24"/>
        </w:rPr>
        <w:t>:</w:t>
      </w:r>
      <w:r>
        <w:rPr>
          <w:rFonts w:hint="eastAsia" w:ascii="仿宋_GB2312" w:hAnsi="仿宋" w:eastAsia="仿宋_GB2312" w:cs="仿宋"/>
          <w:sz w:val="24"/>
          <w:szCs w:val="24"/>
        </w:rPr>
        <w:t>市残联；配合单位：市政府残疾人工作委员会各成员单位</w:t>
      </w:r>
      <w:r>
        <w:rPr>
          <w:rFonts w:ascii="仿宋_GB2312" w:hAnsi="仿宋" w:eastAsia="仿宋_GB2312" w:cs="仿宋"/>
          <w:sz w:val="24"/>
          <w:szCs w:val="24"/>
        </w:rPr>
        <w:t>)</w:t>
      </w:r>
    </w:p>
    <w:p>
      <w:pPr>
        <w:pStyle w:val="5"/>
        <w:keepNext w:val="0"/>
        <w:keepLines w:val="0"/>
        <w:pageBreakBefore w:val="0"/>
        <w:widowControl w:val="0"/>
        <w:wordWrap/>
        <w:overflowPunct/>
        <w:topLinePunct w:val="0"/>
        <w:bidi w:val="0"/>
        <w:snapToGrid w:val="0"/>
        <w:spacing w:line="496" w:lineRule="exact"/>
      </w:pPr>
      <w:r>
        <w:rPr>
          <w:rFonts w:hint="eastAsia"/>
        </w:rPr>
        <w:t>（二）健全多元化投入格局。</w:t>
      </w:r>
    </w:p>
    <w:p>
      <w:pPr>
        <w:keepNext w:val="0"/>
        <w:keepLines w:val="0"/>
        <w:pageBreakBefore w:val="0"/>
        <w:widowControl w:val="0"/>
        <w:wordWrap/>
        <w:overflowPunct/>
        <w:topLinePunct w:val="0"/>
        <w:bidi w:val="0"/>
        <w:snapToGrid w:val="0"/>
        <w:spacing w:line="496" w:lineRule="exact"/>
        <w:ind w:firstLine="480" w:firstLineChars="200"/>
        <w:outlineLvl w:val="9"/>
        <w:rPr>
          <w:rFonts w:ascii="仿宋_GB2312" w:hAnsi="仿宋" w:eastAsia="仿宋_GB2312" w:cs="仿宋"/>
          <w:sz w:val="24"/>
          <w:szCs w:val="24"/>
        </w:rPr>
      </w:pPr>
      <w:r>
        <w:rPr>
          <w:rFonts w:hint="eastAsia" w:ascii="仿宋_GB2312" w:hAnsi="仿宋" w:eastAsia="仿宋_GB2312" w:cs="仿宋"/>
          <w:sz w:val="24"/>
          <w:szCs w:val="24"/>
        </w:rPr>
        <w:t>优化和完善以市财政“一般性公共预算”投入为主</w:t>
      </w:r>
      <w:r>
        <w:rPr>
          <w:rFonts w:ascii="仿宋_GB2312" w:hAnsi="仿宋" w:eastAsia="仿宋_GB2312" w:cs="仿宋"/>
          <w:sz w:val="24"/>
          <w:szCs w:val="24"/>
        </w:rPr>
        <w:t>,</w:t>
      </w:r>
      <w:r>
        <w:rPr>
          <w:rFonts w:hint="eastAsia" w:ascii="仿宋_GB2312" w:hAnsi="仿宋" w:eastAsia="仿宋_GB2312" w:cs="仿宋"/>
          <w:sz w:val="24"/>
          <w:szCs w:val="24"/>
        </w:rPr>
        <w:t>“福彩”“体彩”资金支持、社会资本和公益捐赠为补充的残疾人事业多元化投入机制。市财政做好残疾人事业经费保障</w:t>
      </w:r>
      <w:r>
        <w:rPr>
          <w:rFonts w:ascii="仿宋_GB2312" w:hAnsi="仿宋" w:eastAsia="仿宋_GB2312" w:cs="仿宋"/>
          <w:sz w:val="24"/>
          <w:szCs w:val="24"/>
        </w:rPr>
        <w:t>,</w:t>
      </w:r>
      <w:r>
        <w:rPr>
          <w:rFonts w:hint="eastAsia" w:ascii="仿宋_GB2312" w:hAnsi="仿宋" w:eastAsia="仿宋_GB2312" w:cs="仿宋"/>
          <w:sz w:val="24"/>
          <w:szCs w:val="24"/>
        </w:rPr>
        <w:t>按照支出标准和支出责任科学安排经费。加快构建全方位、全过程、全覆盖的预算绩效管理体系</w:t>
      </w:r>
      <w:r>
        <w:rPr>
          <w:rFonts w:ascii="仿宋_GB2312" w:hAnsi="仿宋" w:eastAsia="仿宋_GB2312" w:cs="仿宋"/>
          <w:sz w:val="24"/>
          <w:szCs w:val="24"/>
        </w:rPr>
        <w:t>,</w:t>
      </w:r>
      <w:r>
        <w:rPr>
          <w:rFonts w:hint="eastAsia" w:ascii="仿宋_GB2312" w:hAnsi="仿宋" w:eastAsia="仿宋_GB2312" w:cs="仿宋"/>
          <w:sz w:val="24"/>
          <w:szCs w:val="24"/>
        </w:rPr>
        <w:t>资金优先向绩效评价优、残疾人满意度高的项目倾斜。</w:t>
      </w:r>
      <w:r>
        <w:rPr>
          <w:rFonts w:ascii="仿宋_GB2312" w:hAnsi="仿宋" w:eastAsia="仿宋_GB2312" w:cs="仿宋"/>
          <w:sz w:val="24"/>
          <w:szCs w:val="24"/>
        </w:rPr>
        <w:t>(</w:t>
      </w:r>
      <w:r>
        <w:rPr>
          <w:rFonts w:hint="eastAsia" w:ascii="仿宋_GB2312" w:hAnsi="仿宋" w:eastAsia="仿宋_GB2312" w:cs="仿宋"/>
          <w:sz w:val="24"/>
          <w:szCs w:val="24"/>
        </w:rPr>
        <w:t>牵头单位</w:t>
      </w:r>
      <w:r>
        <w:rPr>
          <w:rFonts w:ascii="仿宋_GB2312" w:hAnsi="仿宋" w:eastAsia="仿宋_GB2312" w:cs="仿宋"/>
          <w:sz w:val="24"/>
          <w:szCs w:val="24"/>
        </w:rPr>
        <w:t>:</w:t>
      </w:r>
      <w:r>
        <w:rPr>
          <w:rFonts w:hint="eastAsia" w:ascii="仿宋_GB2312" w:hAnsi="仿宋" w:eastAsia="仿宋_GB2312" w:cs="仿宋"/>
          <w:sz w:val="24"/>
          <w:szCs w:val="24"/>
        </w:rPr>
        <w:t>市财政局</w:t>
      </w:r>
      <w:r>
        <w:rPr>
          <w:rFonts w:ascii="仿宋_GB2312" w:hAnsi="仿宋" w:eastAsia="仿宋_GB2312" w:cs="仿宋"/>
          <w:sz w:val="24"/>
          <w:szCs w:val="24"/>
        </w:rPr>
        <w:t>;</w:t>
      </w:r>
      <w:r>
        <w:rPr>
          <w:rFonts w:hint="eastAsia" w:ascii="仿宋_GB2312" w:hAnsi="仿宋" w:eastAsia="仿宋_GB2312" w:cs="仿宋"/>
          <w:sz w:val="24"/>
          <w:szCs w:val="24"/>
        </w:rPr>
        <w:t>配合单位</w:t>
      </w:r>
      <w:r>
        <w:rPr>
          <w:rFonts w:ascii="仿宋_GB2312" w:hAnsi="仿宋" w:eastAsia="仿宋_GB2312" w:cs="仿宋"/>
          <w:sz w:val="24"/>
          <w:szCs w:val="24"/>
        </w:rPr>
        <w:t>:</w:t>
      </w:r>
      <w:r>
        <w:rPr>
          <w:rFonts w:hint="eastAsia" w:ascii="仿宋_GB2312" w:hAnsi="仿宋" w:eastAsia="仿宋_GB2312" w:cs="仿宋"/>
          <w:sz w:val="24"/>
          <w:szCs w:val="24"/>
        </w:rPr>
        <w:t>市税务局、市残联</w:t>
      </w:r>
      <w:r>
        <w:rPr>
          <w:rFonts w:ascii="仿宋_GB2312" w:hAnsi="仿宋" w:eastAsia="仿宋_GB2312" w:cs="仿宋"/>
          <w:sz w:val="24"/>
          <w:szCs w:val="24"/>
        </w:rPr>
        <w:t>)</w:t>
      </w:r>
    </w:p>
    <w:p>
      <w:pPr>
        <w:pStyle w:val="5"/>
        <w:keepNext w:val="0"/>
        <w:keepLines w:val="0"/>
        <w:pageBreakBefore w:val="0"/>
        <w:widowControl w:val="0"/>
        <w:wordWrap/>
        <w:overflowPunct/>
        <w:topLinePunct w:val="0"/>
        <w:bidi w:val="0"/>
        <w:snapToGrid w:val="0"/>
        <w:spacing w:line="496" w:lineRule="exact"/>
      </w:pPr>
      <w:r>
        <w:rPr>
          <w:rFonts w:hint="eastAsia"/>
        </w:rPr>
        <w:t>（三）加强残疾人事业人才培养。</w:t>
      </w:r>
    </w:p>
    <w:p>
      <w:pPr>
        <w:keepNext w:val="0"/>
        <w:keepLines w:val="0"/>
        <w:pageBreakBefore w:val="0"/>
        <w:widowControl w:val="0"/>
        <w:wordWrap/>
        <w:overflowPunct/>
        <w:topLinePunct w:val="0"/>
        <w:bidi w:val="0"/>
        <w:snapToGrid w:val="0"/>
        <w:spacing w:line="496" w:lineRule="exact"/>
        <w:ind w:firstLine="480" w:firstLineChars="200"/>
        <w:outlineLvl w:val="9"/>
        <w:rPr>
          <w:rFonts w:ascii="仿宋_GB2312" w:hAnsi="仿宋" w:eastAsia="仿宋_GB2312" w:cs="仿宋"/>
          <w:sz w:val="24"/>
          <w:szCs w:val="24"/>
        </w:rPr>
      </w:pPr>
      <w:r>
        <w:rPr>
          <w:rFonts w:hint="eastAsia" w:ascii="仿宋_GB2312" w:hAnsi="仿宋" w:eastAsia="仿宋_GB2312" w:cs="仿宋"/>
          <w:sz w:val="24"/>
          <w:szCs w:val="24"/>
        </w:rPr>
        <w:t>加强残疾人服务从业人员职业能力建设和职称评定，加快培养残疾人康复、教育、就业、托养照护、文化、体育、社会工作等专业人才队伍。</w:t>
      </w:r>
      <w:r>
        <w:rPr>
          <w:rFonts w:ascii="仿宋_GB2312" w:hAnsi="仿宋" w:eastAsia="仿宋_GB2312" w:cs="仿宋"/>
          <w:sz w:val="24"/>
          <w:szCs w:val="24"/>
        </w:rPr>
        <w:t>(</w:t>
      </w:r>
      <w:r>
        <w:rPr>
          <w:rFonts w:hint="eastAsia" w:ascii="仿宋_GB2312" w:hAnsi="仿宋" w:eastAsia="仿宋_GB2312" w:cs="仿宋"/>
          <w:sz w:val="24"/>
          <w:szCs w:val="24"/>
        </w:rPr>
        <w:t>牵头单位</w:t>
      </w:r>
      <w:r>
        <w:rPr>
          <w:rFonts w:ascii="仿宋_GB2312" w:hAnsi="仿宋" w:eastAsia="仿宋_GB2312" w:cs="仿宋"/>
          <w:sz w:val="24"/>
          <w:szCs w:val="24"/>
        </w:rPr>
        <w:t>:</w:t>
      </w:r>
      <w:r>
        <w:rPr>
          <w:rFonts w:hint="eastAsia" w:ascii="仿宋_GB2312" w:hAnsi="仿宋" w:eastAsia="仿宋_GB2312" w:cs="仿宋"/>
          <w:sz w:val="24"/>
          <w:szCs w:val="24"/>
        </w:rPr>
        <w:t>市教科局、人社局、民政局、文化和旅游局、卫生健康和体育局、市残联</w:t>
      </w:r>
      <w:r>
        <w:rPr>
          <w:rFonts w:ascii="仿宋_GB2312" w:hAnsi="仿宋" w:eastAsia="仿宋_GB2312" w:cs="仿宋"/>
          <w:sz w:val="24"/>
          <w:szCs w:val="24"/>
        </w:rPr>
        <w:t>)</w:t>
      </w:r>
    </w:p>
    <w:p>
      <w:pPr>
        <w:pStyle w:val="5"/>
        <w:keepNext w:val="0"/>
        <w:keepLines w:val="0"/>
        <w:pageBreakBefore w:val="0"/>
        <w:widowControl w:val="0"/>
        <w:wordWrap/>
        <w:overflowPunct/>
        <w:topLinePunct w:val="0"/>
        <w:bidi w:val="0"/>
        <w:snapToGrid w:val="0"/>
        <w:spacing w:line="496" w:lineRule="exact"/>
      </w:pPr>
      <w:r>
        <w:rPr>
          <w:rFonts w:hint="eastAsia"/>
        </w:rPr>
        <w:t>（四）提升基层为残疾人服务能力。</w:t>
      </w:r>
    </w:p>
    <w:p>
      <w:pPr>
        <w:keepNext w:val="0"/>
        <w:keepLines w:val="0"/>
        <w:pageBreakBefore w:val="0"/>
        <w:widowControl w:val="0"/>
        <w:wordWrap/>
        <w:overflowPunct/>
        <w:topLinePunct w:val="0"/>
        <w:bidi w:val="0"/>
        <w:snapToGrid w:val="0"/>
        <w:spacing w:line="496" w:lineRule="exact"/>
        <w:ind w:firstLine="480" w:firstLineChars="200"/>
        <w:outlineLvl w:val="9"/>
        <w:rPr>
          <w:rFonts w:ascii="仿宋_GB2312" w:hAnsi="仿宋" w:eastAsia="仿宋_GB2312" w:cs="仿宋"/>
          <w:sz w:val="24"/>
          <w:szCs w:val="24"/>
        </w:rPr>
      </w:pPr>
      <w:r>
        <w:rPr>
          <w:rFonts w:hint="eastAsia" w:ascii="仿宋_GB2312" w:hAnsi="仿宋" w:eastAsia="仿宋_GB2312" w:cs="仿宋"/>
          <w:sz w:val="24"/>
          <w:szCs w:val="24"/>
        </w:rPr>
        <w:t>将残疾人公共服务纳入乡</w:t>
      </w:r>
      <w:r>
        <w:rPr>
          <w:rFonts w:ascii="仿宋_GB2312" w:hAnsi="仿宋" w:eastAsia="仿宋_GB2312" w:cs="仿宋"/>
          <w:sz w:val="24"/>
          <w:szCs w:val="24"/>
        </w:rPr>
        <w:t>(</w:t>
      </w:r>
      <w:r>
        <w:rPr>
          <w:rFonts w:hint="eastAsia" w:ascii="仿宋_GB2312" w:hAnsi="仿宋" w:eastAsia="仿宋_GB2312" w:cs="仿宋"/>
          <w:sz w:val="24"/>
          <w:szCs w:val="24"/>
        </w:rPr>
        <w:t>镇、街道</w:t>
      </w:r>
      <w:r>
        <w:rPr>
          <w:rFonts w:ascii="仿宋_GB2312" w:hAnsi="仿宋" w:eastAsia="仿宋_GB2312" w:cs="仿宋"/>
          <w:sz w:val="24"/>
          <w:szCs w:val="24"/>
        </w:rPr>
        <w:t>)</w:t>
      </w:r>
      <w:r>
        <w:rPr>
          <w:rFonts w:hint="eastAsia" w:ascii="仿宋_GB2312" w:hAnsi="仿宋" w:eastAsia="仿宋_GB2312" w:cs="仿宋"/>
          <w:sz w:val="24"/>
          <w:szCs w:val="24"/>
        </w:rPr>
        <w:t>政府公共服务事项清单和村（居）委会承担的社区工作事项清单及协助政府的社区工作事项清单。在“全科网格”建设中，将涉残事项纳入网格化管理</w:t>
      </w:r>
      <w:r>
        <w:rPr>
          <w:rFonts w:ascii="仿宋_GB2312" w:hAnsi="仿宋" w:eastAsia="仿宋_GB2312" w:cs="仿宋"/>
          <w:sz w:val="24"/>
          <w:szCs w:val="24"/>
        </w:rPr>
        <w:t>,</w:t>
      </w:r>
      <w:r>
        <w:rPr>
          <w:rFonts w:hint="eastAsia" w:ascii="仿宋_GB2312" w:hAnsi="仿宋" w:eastAsia="仿宋_GB2312" w:cs="仿宋"/>
          <w:sz w:val="24"/>
          <w:szCs w:val="24"/>
        </w:rPr>
        <w:t>做到精细化服务</w:t>
      </w:r>
      <w:r>
        <w:rPr>
          <w:rFonts w:ascii="仿宋_GB2312" w:hAnsi="仿宋" w:eastAsia="仿宋_GB2312" w:cs="仿宋"/>
          <w:sz w:val="24"/>
          <w:szCs w:val="24"/>
        </w:rPr>
        <w:t>;</w:t>
      </w:r>
      <w:r>
        <w:rPr>
          <w:rFonts w:hint="eastAsia" w:ascii="仿宋_GB2312" w:hAnsi="仿宋" w:eastAsia="仿宋_GB2312" w:cs="仿宋"/>
          <w:sz w:val="24"/>
          <w:szCs w:val="24"/>
        </w:rPr>
        <w:t>对侵犯残疾人合法权益的违法犯罪行为</w:t>
      </w:r>
      <w:r>
        <w:rPr>
          <w:rFonts w:ascii="仿宋_GB2312" w:hAnsi="仿宋" w:eastAsia="仿宋_GB2312" w:cs="仿宋"/>
          <w:sz w:val="24"/>
          <w:szCs w:val="24"/>
        </w:rPr>
        <w:t>,</w:t>
      </w:r>
      <w:r>
        <w:rPr>
          <w:rFonts w:hint="eastAsia" w:ascii="仿宋_GB2312" w:hAnsi="仿宋" w:eastAsia="仿宋_GB2312" w:cs="仿宋"/>
          <w:sz w:val="24"/>
          <w:szCs w:val="24"/>
        </w:rPr>
        <w:t>及时报告并采取有效措施加以解决。以加快推动太忻一体化经济区建设为契机</w:t>
      </w:r>
      <w:r>
        <w:rPr>
          <w:rFonts w:ascii="仿宋_GB2312" w:hAnsi="仿宋" w:eastAsia="仿宋_GB2312" w:cs="仿宋"/>
          <w:sz w:val="24"/>
          <w:szCs w:val="24"/>
        </w:rPr>
        <w:t>,</w:t>
      </w:r>
      <w:r>
        <w:rPr>
          <w:rFonts w:hint="eastAsia" w:ascii="仿宋_GB2312" w:hAnsi="仿宋" w:eastAsia="仿宋_GB2312" w:cs="仿宋"/>
          <w:sz w:val="24"/>
          <w:szCs w:val="24"/>
        </w:rPr>
        <w:t>促进全市残疾人事业城乡、区域协同发展。实施残疾人服务能力提升行动</w:t>
      </w:r>
      <w:r>
        <w:rPr>
          <w:rFonts w:ascii="仿宋_GB2312" w:hAnsi="仿宋" w:eastAsia="仿宋_GB2312" w:cs="仿宋"/>
          <w:sz w:val="24"/>
          <w:szCs w:val="24"/>
        </w:rPr>
        <w:t>,</w:t>
      </w:r>
      <w:r>
        <w:rPr>
          <w:rFonts w:hint="eastAsia" w:ascii="仿宋_GB2312" w:hAnsi="仿宋" w:eastAsia="仿宋_GB2312" w:cs="仿宋"/>
          <w:sz w:val="24"/>
          <w:szCs w:val="24"/>
        </w:rPr>
        <w:t>建设市、乡、村三级联动互补的基层残疾人服务网络。加强残疾人个性化服务</w:t>
      </w:r>
      <w:r>
        <w:rPr>
          <w:rFonts w:ascii="仿宋_GB2312" w:hAnsi="仿宋" w:eastAsia="仿宋_GB2312" w:cs="仿宋"/>
          <w:sz w:val="24"/>
          <w:szCs w:val="24"/>
        </w:rPr>
        <w:t>,</w:t>
      </w:r>
      <w:r>
        <w:rPr>
          <w:rFonts w:hint="eastAsia" w:ascii="仿宋_GB2312" w:hAnsi="仿宋" w:eastAsia="仿宋_GB2312" w:cs="仿宋"/>
          <w:sz w:val="24"/>
          <w:szCs w:val="24"/>
        </w:rPr>
        <w:t>开展特殊困难残疾人访视工作</w:t>
      </w:r>
      <w:r>
        <w:rPr>
          <w:rFonts w:ascii="仿宋_GB2312" w:hAnsi="仿宋" w:eastAsia="仿宋_GB2312" w:cs="仿宋"/>
          <w:sz w:val="24"/>
          <w:szCs w:val="24"/>
        </w:rPr>
        <w:t>,</w:t>
      </w:r>
      <w:r>
        <w:rPr>
          <w:rFonts w:hint="eastAsia" w:ascii="仿宋_GB2312" w:hAnsi="仿宋" w:eastAsia="仿宋_GB2312" w:cs="仿宋"/>
          <w:sz w:val="24"/>
          <w:szCs w:val="24"/>
        </w:rPr>
        <w:t>对残疾人特殊困难推行便利化服务。严格规范残疾评定和残疾人证核发管理</w:t>
      </w:r>
      <w:r>
        <w:rPr>
          <w:rFonts w:ascii="仿宋_GB2312" w:hAnsi="仿宋" w:eastAsia="仿宋_GB2312" w:cs="仿宋"/>
          <w:sz w:val="24"/>
          <w:szCs w:val="24"/>
        </w:rPr>
        <w:t>,</w:t>
      </w:r>
      <w:r>
        <w:rPr>
          <w:rFonts w:hint="eastAsia" w:ascii="仿宋_GB2312" w:hAnsi="仿宋" w:eastAsia="仿宋_GB2312" w:cs="仿宋"/>
          <w:sz w:val="24"/>
          <w:szCs w:val="24"/>
        </w:rPr>
        <w:t>为行动不便重度残疾人开展残疾评定上门服务</w:t>
      </w:r>
      <w:r>
        <w:rPr>
          <w:rFonts w:ascii="仿宋_GB2312" w:hAnsi="仿宋" w:eastAsia="仿宋_GB2312" w:cs="仿宋"/>
          <w:sz w:val="24"/>
          <w:szCs w:val="24"/>
        </w:rPr>
        <w:t>,</w:t>
      </w:r>
      <w:r>
        <w:rPr>
          <w:rFonts w:hint="eastAsia" w:ascii="仿宋_GB2312" w:hAnsi="仿宋" w:eastAsia="仿宋_GB2312" w:cs="仿宋"/>
          <w:sz w:val="24"/>
          <w:szCs w:val="24"/>
        </w:rPr>
        <w:t>加强评定医师和业务人员规范化培训。</w:t>
      </w:r>
      <w:r>
        <w:rPr>
          <w:rFonts w:ascii="仿宋_GB2312" w:hAnsi="仿宋" w:eastAsia="仿宋_GB2312" w:cs="仿宋"/>
          <w:sz w:val="24"/>
          <w:szCs w:val="24"/>
        </w:rPr>
        <w:t>(</w:t>
      </w:r>
      <w:r>
        <w:rPr>
          <w:rFonts w:hint="eastAsia" w:ascii="仿宋_GB2312" w:hAnsi="仿宋" w:eastAsia="仿宋_GB2312" w:cs="仿宋"/>
          <w:sz w:val="24"/>
          <w:szCs w:val="24"/>
        </w:rPr>
        <w:t>牵头单位</w:t>
      </w:r>
      <w:r>
        <w:rPr>
          <w:rFonts w:ascii="仿宋_GB2312" w:hAnsi="仿宋" w:eastAsia="仿宋_GB2312" w:cs="仿宋"/>
          <w:sz w:val="24"/>
          <w:szCs w:val="24"/>
        </w:rPr>
        <w:t>:</w:t>
      </w:r>
      <w:r>
        <w:rPr>
          <w:rFonts w:hint="eastAsia" w:ascii="仿宋_GB2312" w:hAnsi="仿宋" w:eastAsia="仿宋_GB2312" w:cs="仿宋"/>
          <w:sz w:val="24"/>
          <w:szCs w:val="24"/>
        </w:rPr>
        <w:t>市残联</w:t>
      </w:r>
      <w:r>
        <w:rPr>
          <w:rFonts w:ascii="仿宋_GB2312" w:hAnsi="仿宋" w:eastAsia="仿宋_GB2312" w:cs="仿宋"/>
          <w:sz w:val="24"/>
          <w:szCs w:val="24"/>
        </w:rPr>
        <w:t>;</w:t>
      </w:r>
      <w:r>
        <w:rPr>
          <w:rFonts w:hint="eastAsia" w:ascii="仿宋_GB2312" w:hAnsi="仿宋" w:eastAsia="仿宋_GB2312" w:cs="仿宋"/>
          <w:sz w:val="24"/>
          <w:szCs w:val="24"/>
        </w:rPr>
        <w:t>配合单位</w:t>
      </w:r>
      <w:r>
        <w:rPr>
          <w:rFonts w:ascii="仿宋_GB2312" w:hAnsi="仿宋" w:eastAsia="仿宋_GB2312" w:cs="仿宋"/>
          <w:sz w:val="24"/>
          <w:szCs w:val="24"/>
        </w:rPr>
        <w:t>:</w:t>
      </w:r>
      <w:r>
        <w:rPr>
          <w:rFonts w:hint="eastAsia" w:ascii="仿宋_GB2312" w:hAnsi="仿宋" w:eastAsia="仿宋_GB2312" w:cs="仿宋"/>
          <w:sz w:val="24"/>
          <w:szCs w:val="24"/>
        </w:rPr>
        <w:t>市委政法委、市公安局、民政局、人社局、卫生健康和体育局</w:t>
      </w:r>
      <w:r>
        <w:rPr>
          <w:rFonts w:ascii="仿宋_GB2312" w:hAnsi="仿宋" w:eastAsia="仿宋_GB2312" w:cs="仿宋"/>
          <w:sz w:val="24"/>
          <w:szCs w:val="24"/>
        </w:rPr>
        <w:t>)</w:t>
      </w:r>
    </w:p>
    <w:p>
      <w:pPr>
        <w:pStyle w:val="5"/>
        <w:keepNext w:val="0"/>
        <w:keepLines w:val="0"/>
        <w:pageBreakBefore w:val="0"/>
        <w:widowControl w:val="0"/>
        <w:wordWrap/>
        <w:overflowPunct/>
        <w:topLinePunct w:val="0"/>
        <w:bidi w:val="0"/>
        <w:snapToGrid w:val="0"/>
        <w:spacing w:line="496" w:lineRule="exact"/>
        <w:rPr>
          <w:rFonts w:hint="eastAsia"/>
          <w:spacing w:val="-6"/>
        </w:rPr>
      </w:pPr>
      <w:r>
        <w:rPr>
          <w:rFonts w:hint="eastAsia"/>
        </w:rPr>
        <w:t>（五）</w:t>
      </w:r>
      <w:r>
        <w:rPr>
          <w:rFonts w:hint="eastAsia"/>
          <w:spacing w:val="-6"/>
        </w:rPr>
        <w:t>充分发挥残疾人组织桥梁纽带作用。</w:t>
      </w:r>
    </w:p>
    <w:p>
      <w:pPr>
        <w:keepNext w:val="0"/>
        <w:keepLines w:val="0"/>
        <w:pageBreakBefore w:val="0"/>
        <w:widowControl w:val="0"/>
        <w:wordWrap/>
        <w:overflowPunct/>
        <w:topLinePunct w:val="0"/>
        <w:bidi w:val="0"/>
        <w:snapToGrid w:val="0"/>
        <w:spacing w:line="496" w:lineRule="exact"/>
        <w:ind w:firstLine="480" w:firstLineChars="200"/>
        <w:outlineLvl w:val="9"/>
        <w:rPr>
          <w:rFonts w:hint="eastAsia" w:ascii="仿宋_GB2312" w:hAnsi="仿宋" w:eastAsia="仿宋_GB2312" w:cs="仿宋"/>
          <w:sz w:val="24"/>
          <w:szCs w:val="24"/>
        </w:rPr>
      </w:pPr>
      <w:r>
        <w:rPr>
          <w:rFonts w:hint="eastAsia" w:ascii="仿宋_GB2312" w:hAnsi="仿宋" w:eastAsia="仿宋_GB2312" w:cs="仿宋"/>
          <w:sz w:val="24"/>
          <w:szCs w:val="24"/>
        </w:rPr>
        <w:t>加强自身建设，改进工作作风，增强工作活力，履行好“代表、服务、管理”职能。落实《关于加强和改进村(社区)残疾人协会工作的实施意见》，强化乡(镇、街道)残联建设,实现村(社区)残疾人协会全覆盖。落实新修订的《村(社区)残协工作规范》和《专职委员工作规范》，提升残协标准化规范化建设水平。支持残疾人专门协会建设,发挥“代表、服务、维权、监督”职能。重视市乡残联残疾人干部、年轻干部、基层干部培养选拔。充分利用换届契机，选优配齐市残联领导班子。通过专兼挂等多种方式增强残联代表性，优化残联干部结构，提升残联干部能力。(牵头单位:市残联；配合单位:市委组织部、市民政局、财政局、人社局)</w:t>
      </w:r>
    </w:p>
    <w:p>
      <w:pPr>
        <w:keepNext w:val="0"/>
        <w:keepLines w:val="0"/>
        <w:pageBreakBefore w:val="0"/>
        <w:widowControl w:val="0"/>
        <w:wordWrap/>
        <w:overflowPunct/>
        <w:topLinePunct w:val="0"/>
        <w:bidi w:val="0"/>
        <w:snapToGrid w:val="0"/>
        <w:spacing w:line="496" w:lineRule="exact"/>
        <w:ind w:firstLine="480" w:firstLineChars="200"/>
        <w:outlineLvl w:val="9"/>
        <w:rPr>
          <w:rFonts w:hint="eastAsia" w:ascii="仿宋_GB2312" w:hAnsi="仿宋" w:eastAsia="仿宋_GB2312" w:cs="仿宋"/>
          <w:sz w:val="24"/>
          <w:szCs w:val="24"/>
        </w:rPr>
      </w:pPr>
      <w:r>
        <w:rPr>
          <w:rFonts w:hint="eastAsia" w:ascii="仿宋_GB2312" w:hAnsi="仿宋" w:eastAsia="仿宋_GB2312" w:cs="仿宋"/>
          <w:sz w:val="24"/>
          <w:szCs w:val="24"/>
        </w:rPr>
        <w:t>实施好本规划是政府和全社会的责任。市政府有关部门和单位要根据职责分工做好相关政策与本规划的衔接，明确责任主体和进度要求。各乡（镇、街道）要依据本规划制定当地“十四五”残疾人保障和发展规划或实施方案,确保各项任务落到实处。要将规划实施情况纳入政府目标管理和绩效考核内容。</w:t>
      </w:r>
    </w:p>
    <w:p>
      <w:pPr>
        <w:keepNext w:val="0"/>
        <w:keepLines w:val="0"/>
        <w:pageBreakBefore w:val="0"/>
        <w:widowControl w:val="0"/>
        <w:wordWrap/>
        <w:overflowPunct/>
        <w:topLinePunct w:val="0"/>
        <w:bidi w:val="0"/>
        <w:snapToGrid w:val="0"/>
        <w:spacing w:line="496" w:lineRule="exact"/>
        <w:ind w:firstLine="480" w:firstLineChars="200"/>
        <w:outlineLvl w:val="9"/>
        <w:rPr>
          <w:rFonts w:hint="eastAsia" w:ascii="仿宋_GB2312" w:hAnsi="仿宋" w:eastAsia="仿宋_GB2312" w:cs="仿宋"/>
          <w:sz w:val="24"/>
          <w:szCs w:val="24"/>
        </w:rPr>
      </w:pPr>
      <w:r>
        <w:rPr>
          <w:rFonts w:hint="eastAsia" w:ascii="仿宋_GB2312" w:hAnsi="仿宋" w:eastAsia="仿宋_GB2312" w:cs="仿宋"/>
          <w:sz w:val="24"/>
          <w:szCs w:val="24"/>
        </w:rPr>
        <w:t>市政府残疾人工作委员会及有关部门要对规划实施情况开展年度监测、中期评估和总结评估,开展第三方评估和社会满意度调查,及时发现和解决规划实施中出现的问题。要在“十四五”时期末对规划实施情况进行评估总结。</w:t>
      </w:r>
    </w:p>
    <w:p>
      <w:pPr>
        <w:keepNext w:val="0"/>
        <w:keepLines w:val="0"/>
        <w:pageBreakBefore w:val="0"/>
        <w:widowControl w:val="0"/>
        <w:kinsoku/>
        <w:wordWrap/>
        <w:overflowPunct/>
        <w:topLinePunct w:val="0"/>
        <w:autoSpaceDE/>
        <w:autoSpaceDN/>
        <w:bidi w:val="0"/>
        <w:adjustRightInd/>
        <w:snapToGrid w:val="0"/>
        <w:spacing w:line="460" w:lineRule="exact"/>
        <w:ind w:left="0" w:leftChars="0" w:firstLine="0" w:firstLineChars="0"/>
        <w:jc w:val="both"/>
        <w:textAlignment w:val="auto"/>
        <w:outlineLvl w:val="9"/>
        <w:rPr>
          <w:rFonts w:hint="eastAsia" w:ascii="仿宋_GB2312" w:eastAsia="仿宋_GB2312"/>
          <w:sz w:val="24"/>
          <w:szCs w:val="24"/>
          <w:lang w:val="en-US" w:eastAsia="zh-CN"/>
        </w:rPr>
        <w:sectPr>
          <w:type w:val="continuous"/>
          <w:pgSz w:w="12240" w:h="16498"/>
          <w:pgMar w:top="1145" w:right="1389" w:bottom="1134" w:left="1389" w:header="1043" w:footer="992" w:gutter="0"/>
          <w:pgNumType w:fmt="decimal"/>
          <w:cols w:equalWidth="0" w:num="2">
            <w:col w:w="4518" w:space="425"/>
            <w:col w:w="4518"/>
          </w:cols>
          <w:rtlGutter w:val="0"/>
          <w:docGrid w:type="lines" w:linePitch="312" w:charSpace="0"/>
        </w:sectPr>
      </w:pPr>
    </w:p>
    <w:p>
      <w:pPr>
        <w:pStyle w:val="2"/>
        <w:keepNext/>
        <w:keepLines/>
        <w:pageBreakBefore w:val="0"/>
        <w:widowControl w:val="0"/>
        <w:kinsoku/>
        <w:wordWrap/>
        <w:overflowPunct/>
        <w:topLinePunct w:val="0"/>
        <w:autoSpaceDE/>
        <w:autoSpaceDN/>
        <w:bidi w:val="0"/>
        <w:adjustRightInd/>
        <w:snapToGrid w:val="0"/>
        <w:spacing w:line="300" w:lineRule="exact"/>
        <w:textAlignment w:val="auto"/>
        <w:rPr>
          <w:rFonts w:hint="eastAsia"/>
        </w:rPr>
      </w:pPr>
    </w:p>
    <w:p>
      <w:pPr>
        <w:pStyle w:val="2"/>
        <w:bidi w:val="0"/>
        <w:rPr>
          <w:rFonts w:hint="eastAsia"/>
        </w:rPr>
      </w:pPr>
      <w:bookmarkStart w:id="24" w:name="_Toc9776"/>
      <w:bookmarkStart w:id="25" w:name="_Toc25752"/>
      <w:r>
        <w:rPr>
          <w:rFonts w:hint="eastAsia"/>
        </w:rPr>
        <w:t>原平市人民政府</w:t>
      </w:r>
      <w:bookmarkEnd w:id="24"/>
      <w:bookmarkEnd w:id="25"/>
    </w:p>
    <w:p>
      <w:pPr>
        <w:pStyle w:val="2"/>
        <w:bidi w:val="0"/>
        <w:rPr>
          <w:rFonts w:hint="eastAsia"/>
        </w:rPr>
      </w:pPr>
      <w:bookmarkStart w:id="26" w:name="_Toc26141"/>
      <w:bookmarkStart w:id="27" w:name="_Toc17958"/>
      <w:r>
        <w:rPr>
          <w:rFonts w:hint="eastAsia"/>
        </w:rPr>
        <w:t>关于对原平市丽佰嘉文艺活动室存在重大火灾隐患进行销案摘牌的批复</w:t>
      </w:r>
      <w:bookmarkEnd w:id="26"/>
      <w:bookmarkEnd w:id="27"/>
    </w:p>
    <w:p>
      <w:pPr>
        <w:keepNext w:val="0"/>
        <w:keepLines w:val="0"/>
        <w:pageBreakBefore w:val="0"/>
        <w:widowControl w:val="0"/>
        <w:kinsoku/>
        <w:wordWrap/>
        <w:overflowPunct/>
        <w:topLinePunct w:val="0"/>
        <w:autoSpaceDE/>
        <w:autoSpaceDN/>
        <w:bidi w:val="0"/>
        <w:adjustRightInd/>
        <w:snapToGrid w:val="0"/>
        <w:spacing w:line="300" w:lineRule="exact"/>
        <w:ind w:firstLine="633" w:firstLineChars="198"/>
        <w:textAlignment w:val="auto"/>
        <w:rPr>
          <w:rFonts w:hint="eastAsia" w:ascii="仿宋_GB2312" w:hAnsi="黑体" w:eastAsia="仿宋_GB2312"/>
          <w:sz w:val="32"/>
          <w:szCs w:val="32"/>
        </w:rPr>
      </w:pPr>
    </w:p>
    <w:p>
      <w:pPr>
        <w:pStyle w:val="3"/>
        <w:keepNext/>
        <w:keepLines/>
        <w:pageBreakBefore w:val="0"/>
        <w:widowControl w:val="0"/>
        <w:kinsoku/>
        <w:wordWrap/>
        <w:overflowPunct/>
        <w:topLinePunct w:val="0"/>
        <w:autoSpaceDE/>
        <w:autoSpaceDN/>
        <w:bidi w:val="0"/>
        <w:adjustRightInd/>
        <w:snapToGrid w:val="0"/>
        <w:spacing w:after="140"/>
        <w:textAlignment w:val="auto"/>
        <w:rPr>
          <w:rFonts w:hint="eastAsia"/>
        </w:rPr>
      </w:pPr>
      <w:bookmarkStart w:id="28" w:name="_Toc3661"/>
      <w:r>
        <w:rPr>
          <w:rFonts w:hint="eastAsia"/>
        </w:rPr>
        <w:t>原政函〔2022〕99号</w:t>
      </w:r>
      <w:bookmarkEnd w:id="28"/>
    </w:p>
    <w:p>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textAlignment w:val="auto"/>
        <w:rPr>
          <w:rFonts w:hint="eastAsia" w:ascii="仿宋_GB2312" w:hAnsi="仿宋" w:eastAsia="仿宋_GB2312" w:cs="仿宋"/>
          <w:sz w:val="24"/>
          <w:szCs w:val="24"/>
        </w:rPr>
      </w:pPr>
      <w:r>
        <w:rPr>
          <w:rFonts w:hint="eastAsia" w:ascii="仿宋_GB2312" w:hAnsi="仿宋" w:eastAsia="仿宋_GB2312" w:cs="仿宋"/>
          <w:sz w:val="24"/>
          <w:szCs w:val="24"/>
        </w:rPr>
        <w:t>原平市应急管理局：</w:t>
      </w:r>
    </w:p>
    <w:p>
      <w:pPr>
        <w:keepNext w:val="0"/>
        <w:keepLines w:val="0"/>
        <w:pageBreakBefore w:val="0"/>
        <w:widowControl w:val="0"/>
        <w:kinsoku/>
        <w:wordWrap/>
        <w:overflowPunct/>
        <w:topLinePunct w:val="0"/>
        <w:autoSpaceDE/>
        <w:autoSpaceDN/>
        <w:bidi w:val="0"/>
        <w:adjustRightInd/>
        <w:snapToGrid w:val="0"/>
        <w:spacing w:line="420" w:lineRule="exact"/>
        <w:ind w:firstLine="480" w:firstLineChars="200"/>
        <w:textAlignment w:val="auto"/>
        <w:rPr>
          <w:rFonts w:hint="eastAsia" w:ascii="仿宋_GB2312" w:hAnsi="仿宋" w:eastAsia="仿宋_GB2312" w:cs="仿宋"/>
          <w:sz w:val="24"/>
          <w:szCs w:val="24"/>
        </w:rPr>
      </w:pPr>
      <w:r>
        <w:rPr>
          <w:rFonts w:hint="eastAsia" w:ascii="仿宋_GB2312" w:hAnsi="仿宋" w:eastAsia="仿宋_GB2312" w:cs="仿宋"/>
          <w:sz w:val="24"/>
          <w:szCs w:val="24"/>
        </w:rPr>
        <w:t>你局《关于对原平市丽佰嘉文艺活动室存在重大火灾隐患进行销案摘牌的请示》(原应急字〔2022〕72号)文已收悉。现批复如下：</w:t>
      </w:r>
    </w:p>
    <w:p>
      <w:pPr>
        <w:keepNext w:val="0"/>
        <w:keepLines w:val="0"/>
        <w:pageBreakBefore w:val="0"/>
        <w:widowControl w:val="0"/>
        <w:kinsoku/>
        <w:wordWrap/>
        <w:overflowPunct/>
        <w:topLinePunct w:val="0"/>
        <w:autoSpaceDE/>
        <w:autoSpaceDN/>
        <w:bidi w:val="0"/>
        <w:adjustRightInd/>
        <w:snapToGrid w:val="0"/>
        <w:spacing w:line="420" w:lineRule="exact"/>
        <w:ind w:firstLine="480" w:firstLineChars="200"/>
        <w:textAlignment w:val="auto"/>
        <w:rPr>
          <w:rFonts w:hint="eastAsia" w:ascii="仿宋_GB2312" w:hAnsi="仿宋" w:eastAsia="仿宋_GB2312" w:cs="仿宋"/>
          <w:sz w:val="24"/>
          <w:szCs w:val="24"/>
        </w:rPr>
      </w:pPr>
      <w:r>
        <w:rPr>
          <w:rFonts w:hint="eastAsia" w:ascii="仿宋_GB2312" w:hAnsi="仿宋" w:eastAsia="仿宋_GB2312" w:cs="仿宋"/>
          <w:sz w:val="24"/>
          <w:szCs w:val="24"/>
        </w:rPr>
        <w:t>一、同意对原平市丽佰嘉文艺活动室进行销案摘牌。</w:t>
      </w:r>
    </w:p>
    <w:p>
      <w:pPr>
        <w:keepNext w:val="0"/>
        <w:keepLines w:val="0"/>
        <w:pageBreakBefore w:val="0"/>
        <w:widowControl w:val="0"/>
        <w:kinsoku/>
        <w:wordWrap/>
        <w:overflowPunct/>
        <w:topLinePunct w:val="0"/>
        <w:autoSpaceDE/>
        <w:autoSpaceDN/>
        <w:bidi w:val="0"/>
        <w:adjustRightInd/>
        <w:snapToGrid w:val="0"/>
        <w:spacing w:line="420" w:lineRule="exact"/>
        <w:ind w:firstLine="480" w:firstLineChars="200"/>
        <w:textAlignment w:val="auto"/>
        <w:rPr>
          <w:rFonts w:hint="eastAsia" w:ascii="仿宋_GB2312" w:hAnsi="仿宋" w:eastAsia="仿宋_GB2312" w:cs="仿宋"/>
          <w:sz w:val="24"/>
          <w:szCs w:val="24"/>
        </w:rPr>
      </w:pPr>
      <w:r>
        <w:rPr>
          <w:rFonts w:hint="eastAsia" w:ascii="仿宋_GB2312" w:hAnsi="仿宋" w:eastAsia="仿宋_GB2312" w:cs="仿宋"/>
          <w:sz w:val="24"/>
          <w:szCs w:val="24"/>
        </w:rPr>
        <w:t>二、你局要加强日常监管，确保原平市丽佰嘉文艺活动室停止使用，若经营需确保消防安全。</w:t>
      </w:r>
    </w:p>
    <w:p>
      <w:pPr>
        <w:keepNext w:val="0"/>
        <w:keepLines w:val="0"/>
        <w:pageBreakBefore w:val="0"/>
        <w:widowControl w:val="0"/>
        <w:kinsoku/>
        <w:wordWrap/>
        <w:overflowPunct/>
        <w:topLinePunct w:val="0"/>
        <w:autoSpaceDE/>
        <w:autoSpaceDN/>
        <w:bidi w:val="0"/>
        <w:adjustRightInd/>
        <w:snapToGrid w:val="0"/>
        <w:spacing w:line="420" w:lineRule="exact"/>
        <w:ind w:firstLine="480" w:firstLineChars="200"/>
        <w:textAlignment w:val="auto"/>
        <w:rPr>
          <w:rFonts w:hint="eastAsia" w:ascii="仿宋_GB2312" w:hAnsi="仿宋" w:eastAsia="仿宋_GB2312" w:cs="仿宋"/>
          <w:sz w:val="24"/>
          <w:szCs w:val="24"/>
        </w:rPr>
      </w:pPr>
      <w:r>
        <w:rPr>
          <w:rFonts w:hint="eastAsia" w:ascii="仿宋_GB2312" w:hAnsi="仿宋" w:eastAsia="仿宋_GB2312" w:cs="仿宋"/>
          <w:sz w:val="24"/>
          <w:szCs w:val="24"/>
        </w:rPr>
        <w:t>特此批复。</w:t>
      </w:r>
    </w:p>
    <w:p>
      <w:pPr>
        <w:keepNext w:val="0"/>
        <w:keepLines w:val="0"/>
        <w:pageBreakBefore w:val="0"/>
        <w:widowControl w:val="0"/>
        <w:kinsoku/>
        <w:wordWrap/>
        <w:overflowPunct/>
        <w:topLinePunct w:val="0"/>
        <w:autoSpaceDE/>
        <w:autoSpaceDN/>
        <w:bidi w:val="0"/>
        <w:adjustRightInd/>
        <w:snapToGrid w:val="0"/>
        <w:spacing w:line="420" w:lineRule="exact"/>
        <w:ind w:left="6000" w:leftChars="2500" w:firstLine="0" w:firstLineChars="0"/>
        <w:jc w:val="center"/>
        <w:textAlignment w:val="auto"/>
        <w:rPr>
          <w:rFonts w:hint="eastAsia" w:ascii="仿宋_GB2312" w:hAnsi="仿宋" w:eastAsia="仿宋_GB2312" w:cs="仿宋"/>
          <w:sz w:val="24"/>
          <w:szCs w:val="24"/>
        </w:rPr>
      </w:pPr>
      <w:r>
        <w:rPr>
          <w:rFonts w:hint="eastAsia" w:ascii="仿宋_GB2312" w:hAnsi="仿宋" w:eastAsia="仿宋_GB2312" w:cs="仿宋"/>
          <w:sz w:val="24"/>
          <w:szCs w:val="24"/>
        </w:rPr>
        <w:t>原平市人民政府</w:t>
      </w:r>
    </w:p>
    <w:p>
      <w:pPr>
        <w:keepNext w:val="0"/>
        <w:keepLines w:val="0"/>
        <w:pageBreakBefore w:val="0"/>
        <w:widowControl w:val="0"/>
        <w:kinsoku/>
        <w:wordWrap/>
        <w:overflowPunct/>
        <w:topLinePunct w:val="0"/>
        <w:autoSpaceDE/>
        <w:autoSpaceDN/>
        <w:bidi w:val="0"/>
        <w:adjustRightInd/>
        <w:snapToGrid w:val="0"/>
        <w:spacing w:line="420" w:lineRule="exact"/>
        <w:ind w:left="6000" w:leftChars="2500" w:firstLine="0" w:firstLineChars="0"/>
        <w:jc w:val="center"/>
        <w:textAlignment w:val="auto"/>
        <w:rPr>
          <w:rFonts w:hint="eastAsia" w:ascii="楷体_GB2312" w:hAnsi="楷体" w:eastAsia="楷体_GB2312" w:cs="楷体"/>
          <w:w w:val="102"/>
          <w:sz w:val="24"/>
          <w:szCs w:val="24"/>
        </w:rPr>
      </w:pPr>
      <w:r>
        <w:rPr>
          <w:rFonts w:hint="eastAsia" w:ascii="仿宋_GB2312" w:hAnsi="仿宋" w:eastAsia="仿宋_GB2312" w:cs="仿宋"/>
          <w:sz w:val="24"/>
          <w:szCs w:val="24"/>
        </w:rPr>
        <w:t>2022年9月8日</w:t>
      </w:r>
    </w:p>
    <w:p>
      <w:pPr>
        <w:pStyle w:val="2"/>
        <w:keepNext/>
        <w:keepLines/>
        <w:pageBreakBefore w:val="0"/>
        <w:widowControl w:val="0"/>
        <w:kinsoku/>
        <w:wordWrap/>
        <w:overflowPunct/>
        <w:topLinePunct w:val="0"/>
        <w:autoSpaceDE/>
        <w:autoSpaceDN/>
        <w:bidi w:val="0"/>
        <w:adjustRightInd/>
        <w:snapToGrid w:val="0"/>
        <w:spacing w:line="300" w:lineRule="exact"/>
        <w:textAlignment w:val="auto"/>
        <w:rPr>
          <w:rFonts w:hint="eastAsia"/>
        </w:rPr>
      </w:pPr>
    </w:p>
    <w:p>
      <w:pPr>
        <w:pStyle w:val="2"/>
        <w:bidi w:val="0"/>
        <w:rPr>
          <w:rFonts w:hint="eastAsia"/>
        </w:rPr>
      </w:pPr>
      <w:bookmarkStart w:id="29" w:name="_Toc6067"/>
      <w:bookmarkStart w:id="30" w:name="_Toc25498"/>
      <w:r>
        <w:rPr>
          <w:rFonts w:hint="eastAsia"/>
        </w:rPr>
        <w:t>原平市人民政府</w:t>
      </w:r>
      <w:bookmarkEnd w:id="29"/>
      <w:bookmarkEnd w:id="30"/>
    </w:p>
    <w:p>
      <w:pPr>
        <w:pStyle w:val="2"/>
        <w:bidi w:val="0"/>
        <w:rPr>
          <w:rFonts w:hint="eastAsia"/>
        </w:rPr>
      </w:pPr>
      <w:bookmarkStart w:id="31" w:name="_Toc15836"/>
      <w:bookmarkStart w:id="32" w:name="_Toc1227"/>
      <w:r>
        <w:rPr>
          <w:rFonts w:hint="eastAsia"/>
        </w:rPr>
        <w:t>关于集大原铁路原平段施工便道临时用地</w:t>
      </w:r>
      <w:bookmarkEnd w:id="31"/>
      <w:bookmarkEnd w:id="32"/>
    </w:p>
    <w:p>
      <w:pPr>
        <w:pStyle w:val="2"/>
        <w:bidi w:val="0"/>
        <w:rPr>
          <w:rFonts w:hint="eastAsia"/>
        </w:rPr>
      </w:pPr>
      <w:bookmarkStart w:id="33" w:name="_Toc13897"/>
      <w:bookmarkStart w:id="34" w:name="_Toc30248"/>
      <w:r>
        <w:rPr>
          <w:rFonts w:hint="eastAsia"/>
        </w:rPr>
        <w:t>审查意见的批复</w:t>
      </w:r>
      <w:bookmarkEnd w:id="33"/>
      <w:bookmarkEnd w:id="34"/>
    </w:p>
    <w:p>
      <w:pPr>
        <w:keepNext w:val="0"/>
        <w:keepLines w:val="0"/>
        <w:pageBreakBefore w:val="0"/>
        <w:widowControl w:val="0"/>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 w:eastAsia="仿宋_GB2312" w:cs="仿宋"/>
          <w:sz w:val="24"/>
          <w:szCs w:val="24"/>
        </w:rPr>
      </w:pPr>
    </w:p>
    <w:p>
      <w:pPr>
        <w:pStyle w:val="3"/>
        <w:keepNext/>
        <w:keepLines/>
        <w:pageBreakBefore w:val="0"/>
        <w:widowControl w:val="0"/>
        <w:kinsoku/>
        <w:wordWrap/>
        <w:overflowPunct/>
        <w:topLinePunct w:val="0"/>
        <w:autoSpaceDE/>
        <w:autoSpaceDN/>
        <w:bidi w:val="0"/>
        <w:adjustRightInd/>
        <w:snapToGrid w:val="0"/>
        <w:spacing w:after="140"/>
        <w:textAlignment w:val="auto"/>
        <w:rPr>
          <w:rFonts w:hint="eastAsia"/>
        </w:rPr>
      </w:pPr>
      <w:bookmarkStart w:id="35" w:name="_Toc13912"/>
      <w:r>
        <w:rPr>
          <w:rFonts w:hint="eastAsia"/>
        </w:rPr>
        <w:t>原政函〔2022〕106号</w:t>
      </w:r>
      <w:bookmarkEnd w:id="35"/>
    </w:p>
    <w:p>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textAlignment w:val="auto"/>
        <w:rPr>
          <w:rFonts w:hint="eastAsia" w:ascii="仿宋_GB2312" w:hAnsi="仿宋" w:eastAsia="仿宋_GB2312" w:cs="仿宋"/>
          <w:sz w:val="24"/>
          <w:szCs w:val="24"/>
        </w:rPr>
      </w:pPr>
      <w:r>
        <w:rPr>
          <w:rFonts w:hint="eastAsia" w:ascii="仿宋_GB2312" w:hAnsi="仿宋" w:eastAsia="仿宋_GB2312" w:cs="仿宋"/>
          <w:sz w:val="24"/>
          <w:szCs w:val="24"/>
        </w:rPr>
        <w:t>原平市自然资源局:</w:t>
      </w:r>
    </w:p>
    <w:p>
      <w:pPr>
        <w:keepNext w:val="0"/>
        <w:keepLines w:val="0"/>
        <w:pageBreakBefore w:val="0"/>
        <w:widowControl w:val="0"/>
        <w:kinsoku/>
        <w:wordWrap/>
        <w:overflowPunct/>
        <w:topLinePunct w:val="0"/>
        <w:autoSpaceDE/>
        <w:autoSpaceDN/>
        <w:bidi w:val="0"/>
        <w:adjustRightInd/>
        <w:snapToGrid w:val="0"/>
        <w:spacing w:line="420" w:lineRule="exact"/>
        <w:ind w:firstLine="480" w:firstLineChars="200"/>
        <w:textAlignment w:val="auto"/>
        <w:rPr>
          <w:rFonts w:hint="eastAsia" w:ascii="仿宋_GB2312" w:hAnsi="仿宋" w:eastAsia="仿宋_GB2312" w:cs="仿宋"/>
          <w:sz w:val="24"/>
          <w:szCs w:val="24"/>
        </w:rPr>
      </w:pPr>
      <w:r>
        <w:rPr>
          <w:rFonts w:hint="eastAsia" w:ascii="仿宋_GB2312" w:hAnsi="仿宋" w:eastAsia="仿宋_GB2312" w:cs="仿宋"/>
          <w:sz w:val="24"/>
          <w:szCs w:val="24"/>
        </w:rPr>
        <w:t>你局《关于集大原铁路原平段施工便道临时用地审查意见的请示》（原自然资〔2022〕260号）文已收悉。由于该项目选址无法避让耕地 10.3714公顷(155.57 亩，其中基本农田 122.49 亩)，为保证集大原铁路项目实施，原则上同意 JDYZQ-4 标项目经理部使用原平市沿沟乡、崞阳镇等 16 个村 13.2242 公顷(198.36 亩)土地作为施工便道临时用地，使用期限2年。按照《忻州市规划和自然资源局临时用地办理程序(暂行)》(忻自然资办发〔2022〕18号)文件要求，待忻州市规划和自然资源局审批后，办理相关手续。</w:t>
      </w:r>
    </w:p>
    <w:p>
      <w:pPr>
        <w:keepNext w:val="0"/>
        <w:keepLines w:val="0"/>
        <w:pageBreakBefore w:val="0"/>
        <w:widowControl w:val="0"/>
        <w:kinsoku/>
        <w:wordWrap/>
        <w:overflowPunct/>
        <w:topLinePunct w:val="0"/>
        <w:autoSpaceDE/>
        <w:autoSpaceDN/>
        <w:bidi w:val="0"/>
        <w:adjustRightInd/>
        <w:snapToGrid w:val="0"/>
        <w:spacing w:line="420" w:lineRule="exact"/>
        <w:ind w:firstLine="480" w:firstLineChars="200"/>
        <w:textAlignment w:val="auto"/>
        <w:rPr>
          <w:rFonts w:hint="eastAsia" w:ascii="仿宋_GB2312" w:hAnsi="仿宋" w:eastAsia="仿宋_GB2312" w:cs="仿宋"/>
          <w:sz w:val="24"/>
          <w:szCs w:val="24"/>
        </w:rPr>
      </w:pPr>
      <w:r>
        <w:rPr>
          <w:rFonts w:hint="eastAsia" w:ascii="仿宋_GB2312" w:hAnsi="仿宋" w:eastAsia="仿宋_GB2312" w:cs="仿宋"/>
          <w:sz w:val="24"/>
          <w:szCs w:val="24"/>
        </w:rPr>
        <w:t>特此批复。</w:t>
      </w:r>
    </w:p>
    <w:p>
      <w:pPr>
        <w:keepNext w:val="0"/>
        <w:keepLines w:val="0"/>
        <w:pageBreakBefore w:val="0"/>
        <w:widowControl w:val="0"/>
        <w:kinsoku/>
        <w:wordWrap/>
        <w:overflowPunct/>
        <w:topLinePunct w:val="0"/>
        <w:autoSpaceDE/>
        <w:autoSpaceDN/>
        <w:bidi w:val="0"/>
        <w:adjustRightInd/>
        <w:snapToGrid w:val="0"/>
        <w:spacing w:line="420" w:lineRule="exact"/>
        <w:ind w:leftChars="2300" w:firstLine="480" w:firstLineChars="200"/>
        <w:jc w:val="center"/>
        <w:textAlignment w:val="auto"/>
        <w:rPr>
          <w:rFonts w:hint="eastAsia" w:ascii="仿宋_GB2312" w:hAnsi="仿宋" w:eastAsia="仿宋_GB2312" w:cs="仿宋"/>
          <w:sz w:val="24"/>
          <w:szCs w:val="24"/>
        </w:rPr>
      </w:pPr>
      <w:r>
        <w:rPr>
          <w:rFonts w:hint="eastAsia" w:ascii="仿宋_GB2312" w:hAnsi="仿宋" w:eastAsia="仿宋_GB2312" w:cs="仿宋"/>
          <w:sz w:val="24"/>
          <w:szCs w:val="24"/>
        </w:rPr>
        <w:t>原平市人民政府</w:t>
      </w:r>
    </w:p>
    <w:p>
      <w:pPr>
        <w:keepNext w:val="0"/>
        <w:keepLines w:val="0"/>
        <w:pageBreakBefore w:val="0"/>
        <w:widowControl w:val="0"/>
        <w:kinsoku/>
        <w:wordWrap/>
        <w:overflowPunct/>
        <w:topLinePunct w:val="0"/>
        <w:autoSpaceDE/>
        <w:autoSpaceDN/>
        <w:bidi w:val="0"/>
        <w:adjustRightInd/>
        <w:snapToGrid w:val="0"/>
        <w:spacing w:line="420" w:lineRule="exact"/>
        <w:ind w:leftChars="2300" w:firstLine="480" w:firstLineChars="200"/>
        <w:jc w:val="center"/>
        <w:textAlignment w:val="auto"/>
        <w:rPr>
          <w:rFonts w:hint="eastAsia" w:ascii="楷体_GB2312" w:hAnsi="楷体" w:eastAsia="楷体_GB2312" w:cs="楷体"/>
          <w:w w:val="102"/>
          <w:sz w:val="24"/>
          <w:szCs w:val="24"/>
        </w:rPr>
      </w:pPr>
      <w:r>
        <w:rPr>
          <w:rFonts w:hint="eastAsia" w:ascii="仿宋_GB2312" w:hAnsi="仿宋" w:eastAsia="仿宋_GB2312" w:cs="仿宋"/>
          <w:sz w:val="24"/>
          <w:szCs w:val="24"/>
        </w:rPr>
        <w:t>2022年9月16日</w:t>
      </w:r>
    </w:p>
    <w:p>
      <w:pPr>
        <w:pStyle w:val="2"/>
        <w:keepNext/>
        <w:keepLines/>
        <w:pageBreakBefore w:val="0"/>
        <w:widowControl w:val="0"/>
        <w:kinsoku/>
        <w:wordWrap/>
        <w:overflowPunct/>
        <w:topLinePunct w:val="0"/>
        <w:autoSpaceDE/>
        <w:autoSpaceDN/>
        <w:bidi w:val="0"/>
        <w:adjustRightInd/>
        <w:snapToGrid w:val="0"/>
        <w:spacing w:line="300" w:lineRule="exact"/>
        <w:textAlignment w:val="auto"/>
        <w:rPr>
          <w:rFonts w:hint="eastAsia"/>
        </w:rPr>
      </w:pPr>
    </w:p>
    <w:p>
      <w:pPr>
        <w:pStyle w:val="2"/>
        <w:bidi w:val="0"/>
        <w:rPr>
          <w:rFonts w:hint="eastAsia"/>
        </w:rPr>
      </w:pPr>
      <w:bookmarkStart w:id="36" w:name="_Toc32153"/>
      <w:bookmarkStart w:id="37" w:name="_Toc15703"/>
      <w:r>
        <w:rPr>
          <w:rFonts w:hint="eastAsia"/>
        </w:rPr>
        <w:t>原平市人民政府</w:t>
      </w:r>
      <w:bookmarkEnd w:id="36"/>
      <w:bookmarkEnd w:id="37"/>
    </w:p>
    <w:p>
      <w:pPr>
        <w:pStyle w:val="2"/>
        <w:bidi w:val="0"/>
        <w:rPr>
          <w:rFonts w:hint="eastAsia"/>
        </w:rPr>
      </w:pPr>
      <w:bookmarkStart w:id="38" w:name="_Toc1117"/>
      <w:bookmarkStart w:id="39" w:name="_Toc2378"/>
      <w:r>
        <w:rPr>
          <w:rFonts w:hint="eastAsia"/>
        </w:rPr>
        <w:t>关于集大原铁路原平段钢筋加工场和</w:t>
      </w:r>
      <w:bookmarkEnd w:id="38"/>
      <w:bookmarkEnd w:id="39"/>
    </w:p>
    <w:p>
      <w:pPr>
        <w:pStyle w:val="2"/>
        <w:bidi w:val="0"/>
        <w:rPr>
          <w:rFonts w:hint="eastAsia"/>
        </w:rPr>
      </w:pPr>
      <w:bookmarkStart w:id="40" w:name="_Toc24402"/>
      <w:bookmarkStart w:id="41" w:name="_Toc18874"/>
      <w:r>
        <w:rPr>
          <w:rFonts w:hint="eastAsia"/>
        </w:rPr>
        <w:t>弃土场临时用地审查意见的批复</w:t>
      </w:r>
      <w:bookmarkEnd w:id="40"/>
      <w:bookmarkEnd w:id="41"/>
    </w:p>
    <w:p>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rPr>
      </w:pPr>
    </w:p>
    <w:p>
      <w:pPr>
        <w:pStyle w:val="3"/>
        <w:keepNext/>
        <w:keepLines/>
        <w:pageBreakBefore w:val="0"/>
        <w:widowControl w:val="0"/>
        <w:kinsoku/>
        <w:wordWrap/>
        <w:overflowPunct/>
        <w:topLinePunct w:val="0"/>
        <w:autoSpaceDE/>
        <w:autoSpaceDN/>
        <w:bidi w:val="0"/>
        <w:adjustRightInd/>
        <w:snapToGrid w:val="0"/>
        <w:spacing w:after="140"/>
        <w:textAlignment w:val="auto"/>
        <w:rPr>
          <w:rFonts w:hint="eastAsia" w:ascii="仿宋_GB2312" w:hAnsi="仿宋" w:eastAsia="仿宋_GB2312" w:cs="仿宋"/>
          <w:szCs w:val="24"/>
        </w:rPr>
      </w:pPr>
      <w:bookmarkStart w:id="42" w:name="_Toc22916"/>
      <w:r>
        <w:rPr>
          <w:rFonts w:hint="eastAsia"/>
        </w:rPr>
        <w:t>原政函〔2022〕107号</w:t>
      </w:r>
      <w:bookmarkEnd w:id="42"/>
    </w:p>
    <w:p>
      <w:pPr>
        <w:keepNext w:val="0"/>
        <w:keepLines w:val="0"/>
        <w:pageBreakBefore w:val="0"/>
        <w:widowControl w:val="0"/>
        <w:kinsoku/>
        <w:wordWrap/>
        <w:overflowPunct/>
        <w:topLinePunct w:val="0"/>
        <w:autoSpaceDE/>
        <w:autoSpaceDN/>
        <w:bidi w:val="0"/>
        <w:adjustRightInd/>
        <w:snapToGrid w:val="0"/>
        <w:spacing w:line="400" w:lineRule="exact"/>
        <w:ind w:left="0" w:leftChars="0" w:firstLine="0" w:firstLineChars="0"/>
        <w:textAlignment w:val="auto"/>
        <w:rPr>
          <w:rFonts w:hint="eastAsia" w:ascii="仿宋_GB2312" w:hAnsi="仿宋" w:eastAsia="仿宋_GB2312" w:cs="仿宋"/>
          <w:sz w:val="24"/>
          <w:szCs w:val="24"/>
        </w:rPr>
      </w:pPr>
      <w:r>
        <w:rPr>
          <w:rFonts w:hint="eastAsia" w:ascii="仿宋_GB2312" w:hAnsi="仿宋" w:eastAsia="仿宋_GB2312" w:cs="仿宋"/>
          <w:sz w:val="24"/>
          <w:szCs w:val="24"/>
        </w:rPr>
        <w:t>原平市自然资源局：</w:t>
      </w:r>
    </w:p>
    <w:p>
      <w:pPr>
        <w:keepNext w:val="0"/>
        <w:keepLines w:val="0"/>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eastAsia" w:ascii="仿宋_GB2312" w:hAnsi="仿宋" w:eastAsia="仿宋_GB2312" w:cs="仿宋"/>
          <w:sz w:val="24"/>
          <w:szCs w:val="24"/>
        </w:rPr>
      </w:pPr>
      <w:r>
        <w:rPr>
          <w:rFonts w:hint="eastAsia" w:ascii="仿宋_GB2312" w:hAnsi="仿宋" w:eastAsia="仿宋_GB2312" w:cs="仿宋"/>
          <w:sz w:val="24"/>
          <w:szCs w:val="24"/>
        </w:rPr>
        <w:t>你局《关于集大原铁路原平段钢筋加工场和弃土场临时用地审查意见的请示》（原自然资〔2022〕261号）文已收悉。由于该项目选址无法避让耕地0.5222公顷（7.83亩），为保证集大原铁路项目实施，原则上同意JDYZQ-4标项目经理部使用原平市沿沟乡邵家寨村、上阳贾村集体土地1.7921公顷（26.88亩）作为钢筋加工场地和弃土场用地，使用期限2年。按照《忻州市规划和自然资源局临时用地办理程序（暂行）》（忻自然资办发〔2022〕18号）文件要求，待忻州市规划和自然资源局审批后，办理相关手续。</w:t>
      </w:r>
    </w:p>
    <w:p>
      <w:pPr>
        <w:keepNext w:val="0"/>
        <w:keepLines w:val="0"/>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eastAsia" w:ascii="仿宋_GB2312" w:hAnsi="仿宋" w:eastAsia="仿宋_GB2312" w:cs="仿宋"/>
          <w:sz w:val="24"/>
          <w:szCs w:val="24"/>
        </w:rPr>
      </w:pPr>
      <w:r>
        <w:rPr>
          <w:rFonts w:hint="eastAsia" w:ascii="仿宋_GB2312" w:hAnsi="仿宋" w:eastAsia="仿宋_GB2312" w:cs="仿宋"/>
          <w:sz w:val="24"/>
          <w:szCs w:val="24"/>
        </w:rPr>
        <w:t>特此批复。</w:t>
      </w:r>
    </w:p>
    <w:p>
      <w:pPr>
        <w:keepNext w:val="0"/>
        <w:keepLines w:val="0"/>
        <w:pageBreakBefore w:val="0"/>
        <w:widowControl w:val="0"/>
        <w:kinsoku/>
        <w:wordWrap/>
        <w:overflowPunct/>
        <w:topLinePunct w:val="0"/>
        <w:autoSpaceDE/>
        <w:autoSpaceDN/>
        <w:bidi w:val="0"/>
        <w:adjustRightInd/>
        <w:snapToGrid w:val="0"/>
        <w:spacing w:line="400" w:lineRule="exact"/>
        <w:ind w:leftChars="2200" w:firstLine="480" w:firstLineChars="200"/>
        <w:jc w:val="center"/>
        <w:textAlignment w:val="auto"/>
        <w:rPr>
          <w:rFonts w:hint="eastAsia" w:ascii="仿宋_GB2312" w:hAnsi="仿宋" w:eastAsia="仿宋_GB2312" w:cs="仿宋"/>
          <w:sz w:val="24"/>
          <w:szCs w:val="24"/>
        </w:rPr>
      </w:pPr>
      <w:r>
        <w:rPr>
          <w:rFonts w:hint="eastAsia" w:ascii="仿宋_GB2312" w:hAnsi="仿宋" w:eastAsia="仿宋_GB2312" w:cs="仿宋"/>
          <w:sz w:val="24"/>
          <w:szCs w:val="24"/>
        </w:rPr>
        <w:t>原平市人民政府</w:t>
      </w:r>
    </w:p>
    <w:p>
      <w:pPr>
        <w:keepNext w:val="0"/>
        <w:keepLines w:val="0"/>
        <w:pageBreakBefore w:val="0"/>
        <w:widowControl w:val="0"/>
        <w:kinsoku/>
        <w:wordWrap/>
        <w:overflowPunct/>
        <w:topLinePunct w:val="0"/>
        <w:autoSpaceDE/>
        <w:autoSpaceDN/>
        <w:bidi w:val="0"/>
        <w:adjustRightInd/>
        <w:snapToGrid w:val="0"/>
        <w:spacing w:line="400" w:lineRule="exact"/>
        <w:ind w:leftChars="2200" w:firstLine="480" w:firstLineChars="200"/>
        <w:jc w:val="center"/>
        <w:textAlignment w:val="auto"/>
        <w:rPr>
          <w:rFonts w:hint="eastAsia" w:ascii="楷体_GB2312" w:hAnsi="楷体" w:eastAsia="楷体_GB2312" w:cs="楷体"/>
          <w:w w:val="102"/>
          <w:sz w:val="24"/>
          <w:szCs w:val="24"/>
        </w:rPr>
      </w:pPr>
      <w:r>
        <w:rPr>
          <w:rFonts w:hint="eastAsia" w:ascii="仿宋_GB2312" w:hAnsi="仿宋" w:eastAsia="仿宋_GB2312" w:cs="仿宋"/>
          <w:sz w:val="24"/>
          <w:szCs w:val="24"/>
        </w:rPr>
        <w:t>2022年9月16日</w:t>
      </w:r>
    </w:p>
    <w:p>
      <w:pPr>
        <w:keepNext w:val="0"/>
        <w:keepLines w:val="0"/>
        <w:pageBreakBefore w:val="0"/>
        <w:widowControl w:val="0"/>
        <w:kinsoku/>
        <w:wordWrap/>
        <w:overflowPunct/>
        <w:topLinePunct w:val="0"/>
        <w:autoSpaceDE/>
        <w:autoSpaceDN/>
        <w:bidi w:val="0"/>
        <w:adjustRightInd/>
        <w:snapToGrid w:val="0"/>
        <w:spacing w:line="300" w:lineRule="exact"/>
        <w:ind w:leftChars="2200" w:firstLine="483" w:firstLineChars="198"/>
        <w:jc w:val="center"/>
        <w:textAlignment w:val="auto"/>
        <w:rPr>
          <w:rFonts w:hint="eastAsia" w:ascii="楷体_GB2312" w:hAnsi="楷体" w:eastAsia="楷体_GB2312" w:cs="楷体"/>
          <w:w w:val="102"/>
          <w:sz w:val="24"/>
          <w:szCs w:val="24"/>
        </w:rPr>
      </w:pPr>
    </w:p>
    <w:p>
      <w:pPr>
        <w:pStyle w:val="2"/>
        <w:bidi w:val="0"/>
        <w:rPr>
          <w:rFonts w:hint="eastAsia"/>
        </w:rPr>
      </w:pPr>
      <w:bookmarkStart w:id="43" w:name="_Toc6616"/>
      <w:bookmarkStart w:id="44" w:name="_Toc14397"/>
      <w:r>
        <w:rPr>
          <w:rFonts w:hint="eastAsia"/>
        </w:rPr>
        <w:t>原平市人民政府</w:t>
      </w:r>
      <w:bookmarkEnd w:id="43"/>
      <w:bookmarkEnd w:id="44"/>
    </w:p>
    <w:p>
      <w:pPr>
        <w:pStyle w:val="2"/>
        <w:bidi w:val="0"/>
        <w:rPr>
          <w:rFonts w:hint="eastAsia"/>
        </w:rPr>
      </w:pPr>
      <w:bookmarkStart w:id="45" w:name="_Toc339"/>
      <w:bookmarkStart w:id="46" w:name="_Toc11669"/>
      <w:r>
        <w:rPr>
          <w:rFonts w:hint="eastAsia"/>
        </w:rPr>
        <w:t>关于原平市建制镇污水处理设施及配套管网</w:t>
      </w:r>
      <w:bookmarkEnd w:id="45"/>
      <w:bookmarkEnd w:id="46"/>
    </w:p>
    <w:p>
      <w:pPr>
        <w:pStyle w:val="2"/>
        <w:bidi w:val="0"/>
        <w:rPr>
          <w:rFonts w:hint="eastAsia"/>
        </w:rPr>
      </w:pPr>
      <w:bookmarkStart w:id="47" w:name="_Toc23056"/>
      <w:bookmarkStart w:id="48" w:name="_Toc27832"/>
      <w:r>
        <w:rPr>
          <w:rFonts w:hint="eastAsia"/>
        </w:rPr>
        <w:t>建设特许经营项目实施方案的批复</w:t>
      </w:r>
      <w:bookmarkEnd w:id="47"/>
      <w:bookmarkEnd w:id="48"/>
    </w:p>
    <w:p>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rPr>
      </w:pPr>
    </w:p>
    <w:p>
      <w:pPr>
        <w:pStyle w:val="3"/>
        <w:keepNext/>
        <w:keepLines/>
        <w:pageBreakBefore w:val="0"/>
        <w:widowControl w:val="0"/>
        <w:kinsoku/>
        <w:wordWrap/>
        <w:overflowPunct/>
        <w:topLinePunct w:val="0"/>
        <w:autoSpaceDE/>
        <w:autoSpaceDN/>
        <w:bidi w:val="0"/>
        <w:adjustRightInd/>
        <w:snapToGrid w:val="0"/>
        <w:spacing w:after="140"/>
        <w:textAlignment w:val="auto"/>
        <w:rPr>
          <w:rFonts w:hint="eastAsia"/>
        </w:rPr>
      </w:pPr>
      <w:bookmarkStart w:id="49" w:name="_Toc5818"/>
      <w:r>
        <w:rPr>
          <w:rFonts w:hint="eastAsia"/>
        </w:rPr>
        <w:t>原政函〔2022〕109号</w:t>
      </w:r>
      <w:bookmarkEnd w:id="49"/>
    </w:p>
    <w:p>
      <w:pPr>
        <w:keepNext w:val="0"/>
        <w:keepLines w:val="0"/>
        <w:pageBreakBefore w:val="0"/>
        <w:widowControl w:val="0"/>
        <w:kinsoku/>
        <w:wordWrap/>
        <w:overflowPunct/>
        <w:topLinePunct w:val="0"/>
        <w:autoSpaceDE/>
        <w:autoSpaceDN/>
        <w:bidi w:val="0"/>
        <w:adjustRightInd/>
        <w:snapToGrid w:val="0"/>
        <w:spacing w:line="390" w:lineRule="exact"/>
        <w:ind w:left="0" w:leftChars="0" w:firstLine="0" w:firstLineChars="0"/>
        <w:textAlignment w:val="auto"/>
        <w:rPr>
          <w:rFonts w:hint="eastAsia" w:ascii="仿宋_GB2312" w:hAnsi="仿宋" w:eastAsia="仿宋_GB2312" w:cs="仿宋"/>
          <w:sz w:val="24"/>
          <w:szCs w:val="24"/>
        </w:rPr>
      </w:pPr>
      <w:r>
        <w:rPr>
          <w:rFonts w:hint="eastAsia" w:ascii="仿宋_GB2312" w:hAnsi="仿宋" w:eastAsia="仿宋_GB2312" w:cs="仿宋"/>
          <w:sz w:val="24"/>
          <w:szCs w:val="24"/>
        </w:rPr>
        <w:t>原平市住房和城乡建设管理局：</w:t>
      </w:r>
    </w:p>
    <w:p>
      <w:pPr>
        <w:keepNext w:val="0"/>
        <w:keepLines w:val="0"/>
        <w:pageBreakBefore w:val="0"/>
        <w:widowControl w:val="0"/>
        <w:kinsoku/>
        <w:wordWrap/>
        <w:overflowPunct/>
        <w:topLinePunct w:val="0"/>
        <w:autoSpaceDE/>
        <w:autoSpaceDN/>
        <w:bidi w:val="0"/>
        <w:adjustRightInd/>
        <w:snapToGrid w:val="0"/>
        <w:spacing w:line="390" w:lineRule="exact"/>
        <w:ind w:firstLine="480" w:firstLineChars="200"/>
        <w:textAlignment w:val="auto"/>
        <w:rPr>
          <w:rFonts w:hint="eastAsia" w:ascii="仿宋_GB2312" w:hAnsi="仿宋" w:eastAsia="仿宋_GB2312" w:cs="仿宋"/>
          <w:sz w:val="24"/>
          <w:szCs w:val="24"/>
        </w:rPr>
      </w:pPr>
      <w:r>
        <w:rPr>
          <w:rFonts w:hint="eastAsia" w:ascii="仿宋_GB2312" w:hAnsi="仿宋" w:eastAsia="仿宋_GB2312" w:cs="仿宋"/>
          <w:sz w:val="24"/>
          <w:szCs w:val="24"/>
        </w:rPr>
        <w:t>你局《关于申请批复&lt;原平市建制镇污水处理设施及配套管网建设特许经营项目实施方案&gt;的报告》（原住建函〔2022〕215号）文已收悉。经市政府研究，现批复如下：</w:t>
      </w:r>
    </w:p>
    <w:p>
      <w:pPr>
        <w:keepNext w:val="0"/>
        <w:keepLines w:val="0"/>
        <w:pageBreakBefore w:val="0"/>
        <w:widowControl w:val="0"/>
        <w:kinsoku/>
        <w:wordWrap/>
        <w:overflowPunct/>
        <w:topLinePunct w:val="0"/>
        <w:autoSpaceDE/>
        <w:autoSpaceDN/>
        <w:bidi w:val="0"/>
        <w:adjustRightInd/>
        <w:snapToGrid w:val="0"/>
        <w:spacing w:line="390" w:lineRule="exact"/>
        <w:ind w:firstLine="480" w:firstLineChars="200"/>
        <w:textAlignment w:val="auto"/>
        <w:rPr>
          <w:rFonts w:hint="eastAsia" w:ascii="仿宋_GB2312" w:hAnsi="仿宋" w:eastAsia="仿宋_GB2312" w:cs="仿宋"/>
          <w:sz w:val="24"/>
          <w:szCs w:val="24"/>
        </w:rPr>
      </w:pPr>
      <w:r>
        <w:rPr>
          <w:rFonts w:hint="eastAsia" w:ascii="仿宋_GB2312" w:hAnsi="仿宋" w:eastAsia="仿宋_GB2312" w:cs="仿宋"/>
          <w:sz w:val="24"/>
          <w:szCs w:val="24"/>
        </w:rPr>
        <w:t>一、原则上同意编制的《原平市建制镇污水处理设施及配套管网建设特许经营项目实施方案》；</w:t>
      </w:r>
    </w:p>
    <w:p>
      <w:pPr>
        <w:keepNext w:val="0"/>
        <w:keepLines w:val="0"/>
        <w:pageBreakBefore w:val="0"/>
        <w:widowControl w:val="0"/>
        <w:kinsoku/>
        <w:wordWrap/>
        <w:overflowPunct/>
        <w:topLinePunct w:val="0"/>
        <w:autoSpaceDE/>
        <w:autoSpaceDN/>
        <w:bidi w:val="0"/>
        <w:adjustRightInd/>
        <w:snapToGrid w:val="0"/>
        <w:spacing w:line="390" w:lineRule="exact"/>
        <w:ind w:firstLine="480" w:firstLineChars="200"/>
        <w:textAlignment w:val="auto"/>
        <w:rPr>
          <w:rFonts w:hint="eastAsia" w:ascii="仿宋_GB2312" w:hAnsi="仿宋" w:eastAsia="仿宋_GB2312" w:cs="仿宋"/>
          <w:sz w:val="24"/>
          <w:szCs w:val="24"/>
        </w:rPr>
      </w:pPr>
      <w:r>
        <w:rPr>
          <w:rFonts w:hint="eastAsia" w:ascii="仿宋_GB2312" w:hAnsi="仿宋" w:eastAsia="仿宋_GB2312" w:cs="仿宋"/>
          <w:sz w:val="24"/>
          <w:szCs w:val="24"/>
        </w:rPr>
        <w:t>二、请你局严格遵照《实施方案》内容，依法组织实施，统筹规划，加快推进项目后续工作，确保项目早日投入运行。</w:t>
      </w:r>
    </w:p>
    <w:p>
      <w:pPr>
        <w:keepNext w:val="0"/>
        <w:keepLines w:val="0"/>
        <w:pageBreakBefore w:val="0"/>
        <w:widowControl w:val="0"/>
        <w:kinsoku/>
        <w:wordWrap/>
        <w:overflowPunct/>
        <w:topLinePunct w:val="0"/>
        <w:autoSpaceDE/>
        <w:autoSpaceDN/>
        <w:bidi w:val="0"/>
        <w:adjustRightInd/>
        <w:snapToGrid w:val="0"/>
        <w:spacing w:line="390" w:lineRule="exact"/>
        <w:ind w:firstLine="480" w:firstLineChars="200"/>
        <w:textAlignment w:val="auto"/>
        <w:rPr>
          <w:rFonts w:hint="eastAsia" w:ascii="仿宋_GB2312" w:hAnsi="仿宋" w:eastAsia="仿宋_GB2312" w:cs="仿宋"/>
          <w:sz w:val="24"/>
          <w:szCs w:val="24"/>
        </w:rPr>
      </w:pPr>
      <w:r>
        <w:rPr>
          <w:rFonts w:hint="eastAsia" w:ascii="仿宋_GB2312" w:hAnsi="仿宋" w:eastAsia="仿宋_GB2312" w:cs="仿宋"/>
          <w:sz w:val="24"/>
          <w:szCs w:val="24"/>
        </w:rPr>
        <w:t>特此批复</w:t>
      </w:r>
    </w:p>
    <w:p>
      <w:pPr>
        <w:keepNext w:val="0"/>
        <w:keepLines w:val="0"/>
        <w:pageBreakBefore w:val="0"/>
        <w:widowControl w:val="0"/>
        <w:kinsoku/>
        <w:wordWrap/>
        <w:overflowPunct/>
        <w:topLinePunct w:val="0"/>
        <w:autoSpaceDE/>
        <w:autoSpaceDN/>
        <w:bidi w:val="0"/>
        <w:adjustRightInd/>
        <w:snapToGrid w:val="0"/>
        <w:spacing w:line="390" w:lineRule="exact"/>
        <w:ind w:leftChars="2200" w:firstLine="480" w:firstLineChars="200"/>
        <w:jc w:val="center"/>
        <w:textAlignment w:val="auto"/>
        <w:rPr>
          <w:rFonts w:hint="eastAsia" w:ascii="仿宋_GB2312" w:hAnsi="仿宋" w:eastAsia="仿宋_GB2312" w:cs="仿宋"/>
          <w:sz w:val="24"/>
          <w:szCs w:val="24"/>
        </w:rPr>
      </w:pPr>
      <w:r>
        <w:rPr>
          <w:rFonts w:hint="eastAsia" w:ascii="仿宋_GB2312" w:hAnsi="仿宋" w:eastAsia="仿宋_GB2312" w:cs="仿宋"/>
          <w:sz w:val="24"/>
          <w:szCs w:val="24"/>
        </w:rPr>
        <w:t>原平市人民政府</w:t>
      </w:r>
    </w:p>
    <w:p>
      <w:pPr>
        <w:keepNext w:val="0"/>
        <w:keepLines w:val="0"/>
        <w:pageBreakBefore w:val="0"/>
        <w:widowControl w:val="0"/>
        <w:kinsoku/>
        <w:wordWrap/>
        <w:overflowPunct/>
        <w:topLinePunct w:val="0"/>
        <w:autoSpaceDE/>
        <w:autoSpaceDN/>
        <w:bidi w:val="0"/>
        <w:adjustRightInd/>
        <w:snapToGrid w:val="0"/>
        <w:spacing w:line="390" w:lineRule="exact"/>
        <w:ind w:leftChars="2200" w:firstLine="480" w:firstLineChars="200"/>
        <w:jc w:val="center"/>
        <w:textAlignment w:val="auto"/>
        <w:rPr>
          <w:rFonts w:hint="eastAsia" w:ascii="仿宋_GB2312" w:hAnsi="仿宋" w:eastAsia="仿宋_GB2312" w:cs="仿宋"/>
          <w:sz w:val="24"/>
          <w:szCs w:val="24"/>
        </w:rPr>
      </w:pPr>
      <w:r>
        <w:rPr>
          <w:rFonts w:hint="eastAsia" w:ascii="仿宋_GB2312" w:hAnsi="仿宋" w:eastAsia="仿宋_GB2312" w:cs="仿宋"/>
          <w:sz w:val="24"/>
          <w:szCs w:val="24"/>
        </w:rPr>
        <w:t>2022年9月28日</w:t>
      </w:r>
    </w:p>
    <w:p>
      <w:pPr>
        <w:keepNext w:val="0"/>
        <w:keepLines w:val="0"/>
        <w:pageBreakBefore w:val="0"/>
        <w:widowControl w:val="0"/>
        <w:kinsoku/>
        <w:wordWrap/>
        <w:overflowPunct/>
        <w:topLinePunct w:val="0"/>
        <w:autoSpaceDE/>
        <w:autoSpaceDN/>
        <w:bidi w:val="0"/>
        <w:adjustRightInd/>
        <w:snapToGrid w:val="0"/>
        <w:spacing w:line="420" w:lineRule="exact"/>
        <w:ind w:leftChars="2200" w:firstLine="480" w:firstLineChars="200"/>
        <w:jc w:val="center"/>
        <w:textAlignment w:val="auto"/>
        <w:rPr>
          <w:rFonts w:hint="eastAsia" w:ascii="楷体_GB2312" w:hAnsi="楷体" w:eastAsia="楷体_GB2312" w:cs="楷体"/>
          <w:w w:val="102"/>
          <w:sz w:val="24"/>
          <w:szCs w:val="24"/>
        </w:rPr>
      </w:pPr>
      <w:r>
        <w:rPr>
          <w:rFonts w:hint="eastAsia" w:ascii="仿宋_GB2312" w:hAnsi="仿宋" w:eastAsia="仿宋_GB2312" w:cs="仿宋"/>
          <w:sz w:val="24"/>
          <w:szCs w:val="24"/>
        </w:rPr>
        <w:br w:type="page"/>
      </w:r>
    </w:p>
    <w:p>
      <w:pPr>
        <w:pStyle w:val="2"/>
        <w:keepNext/>
        <w:keepLines/>
        <w:pageBreakBefore w:val="0"/>
        <w:widowControl w:val="0"/>
        <w:kinsoku/>
        <w:wordWrap/>
        <w:overflowPunct/>
        <w:topLinePunct w:val="0"/>
        <w:autoSpaceDE/>
        <w:autoSpaceDN/>
        <w:bidi w:val="0"/>
        <w:adjustRightInd/>
        <w:snapToGrid w:val="0"/>
        <w:spacing w:line="300" w:lineRule="exact"/>
        <w:textAlignment w:val="auto"/>
        <w:rPr>
          <w:rFonts w:hint="eastAsia"/>
        </w:rPr>
      </w:pPr>
    </w:p>
    <w:p>
      <w:pPr>
        <w:pStyle w:val="2"/>
        <w:bidi w:val="0"/>
        <w:rPr>
          <w:rFonts w:hint="eastAsia"/>
        </w:rPr>
      </w:pPr>
      <w:bookmarkStart w:id="50" w:name="_Toc7742"/>
      <w:bookmarkStart w:id="51" w:name="_Toc21412"/>
      <w:r>
        <w:rPr>
          <w:rFonts w:hint="eastAsia"/>
        </w:rPr>
        <w:t>原平市人民政府</w:t>
      </w:r>
      <w:bookmarkEnd w:id="50"/>
      <w:bookmarkEnd w:id="51"/>
    </w:p>
    <w:p>
      <w:pPr>
        <w:pStyle w:val="2"/>
        <w:bidi w:val="0"/>
        <w:rPr>
          <w:rFonts w:hint="eastAsia"/>
        </w:rPr>
      </w:pPr>
      <w:bookmarkStart w:id="52" w:name="_Toc12979"/>
      <w:bookmarkStart w:id="53" w:name="_Toc22660"/>
      <w:r>
        <w:rPr>
          <w:rFonts w:hint="eastAsia"/>
        </w:rPr>
        <w:t>关于原平市无控规地块规划条件设定的批复</w:t>
      </w:r>
      <w:bookmarkEnd w:id="52"/>
      <w:bookmarkEnd w:id="53"/>
    </w:p>
    <w:p>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rPr>
      </w:pPr>
    </w:p>
    <w:p>
      <w:pPr>
        <w:pStyle w:val="3"/>
        <w:keepNext/>
        <w:keepLines/>
        <w:pageBreakBefore w:val="0"/>
        <w:widowControl w:val="0"/>
        <w:kinsoku/>
        <w:wordWrap/>
        <w:overflowPunct/>
        <w:topLinePunct w:val="0"/>
        <w:autoSpaceDE/>
        <w:autoSpaceDN/>
        <w:bidi w:val="0"/>
        <w:adjustRightInd/>
        <w:snapToGrid w:val="0"/>
        <w:spacing w:after="140"/>
        <w:textAlignment w:val="auto"/>
        <w:rPr>
          <w:rFonts w:hint="eastAsia"/>
        </w:rPr>
      </w:pPr>
      <w:bookmarkStart w:id="54" w:name="_Toc4538"/>
      <w:r>
        <w:rPr>
          <w:rFonts w:hint="eastAsia"/>
        </w:rPr>
        <w:t>原政函〔2022〕114号</w:t>
      </w:r>
      <w:bookmarkEnd w:id="54"/>
    </w:p>
    <w:p>
      <w:pPr>
        <w:keepNext w:val="0"/>
        <w:keepLines w:val="0"/>
        <w:pageBreakBefore w:val="0"/>
        <w:widowControl w:val="0"/>
        <w:kinsoku/>
        <w:wordWrap/>
        <w:overflowPunct/>
        <w:topLinePunct w:val="0"/>
        <w:autoSpaceDE/>
        <w:autoSpaceDN/>
        <w:bidi w:val="0"/>
        <w:adjustRightInd/>
        <w:snapToGrid w:val="0"/>
        <w:spacing w:line="400" w:lineRule="exact"/>
        <w:ind w:left="0" w:leftChars="0" w:firstLine="0" w:firstLineChars="0"/>
        <w:textAlignment w:val="auto"/>
        <w:rPr>
          <w:rFonts w:hint="eastAsia" w:ascii="仿宋_GB2312" w:hAnsi="仿宋" w:eastAsia="仿宋_GB2312" w:cs="仿宋"/>
          <w:sz w:val="24"/>
          <w:szCs w:val="24"/>
        </w:rPr>
      </w:pPr>
      <w:r>
        <w:rPr>
          <w:rFonts w:hint="eastAsia" w:ascii="仿宋_GB2312" w:hAnsi="仿宋" w:eastAsia="仿宋_GB2312" w:cs="仿宋"/>
          <w:sz w:val="24"/>
          <w:szCs w:val="24"/>
        </w:rPr>
        <w:t>原平市自然资源局：</w:t>
      </w:r>
    </w:p>
    <w:p>
      <w:pPr>
        <w:keepNext w:val="0"/>
        <w:keepLines w:val="0"/>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eastAsia" w:ascii="仿宋_GB2312" w:hAnsi="仿宋" w:eastAsia="仿宋_GB2312" w:cs="仿宋"/>
          <w:sz w:val="24"/>
          <w:szCs w:val="24"/>
        </w:rPr>
      </w:pPr>
      <w:r>
        <w:rPr>
          <w:rFonts w:hint="eastAsia" w:ascii="仿宋_GB2312" w:hAnsi="仿宋" w:eastAsia="仿宋_GB2312" w:cs="仿宋"/>
          <w:sz w:val="24"/>
          <w:szCs w:val="24"/>
        </w:rPr>
        <w:t>你局《关于对无控规地块规划条件设定的请示报告》（原自然资〔2022〕274号）文已收悉。经市政府研究，批复如下：</w:t>
      </w:r>
    </w:p>
    <w:p>
      <w:pPr>
        <w:keepNext w:val="0"/>
        <w:keepLines w:val="0"/>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eastAsia" w:ascii="仿宋_GB2312" w:hAnsi="仿宋" w:eastAsia="仿宋_GB2312" w:cs="仿宋"/>
          <w:sz w:val="24"/>
          <w:szCs w:val="24"/>
        </w:rPr>
      </w:pPr>
      <w:r>
        <w:rPr>
          <w:rFonts w:hint="eastAsia" w:ascii="仿宋_GB2312" w:hAnsi="仿宋" w:eastAsia="仿宋_GB2312" w:cs="仿宋"/>
          <w:sz w:val="24"/>
          <w:szCs w:val="24"/>
        </w:rPr>
        <w:t>一、同意你局上报的7个地块相关指标。</w:t>
      </w:r>
    </w:p>
    <w:p>
      <w:pPr>
        <w:keepNext w:val="0"/>
        <w:keepLines w:val="0"/>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eastAsia" w:ascii="仿宋_GB2312" w:hAnsi="仿宋" w:eastAsia="仿宋_GB2312" w:cs="仿宋"/>
          <w:sz w:val="24"/>
          <w:szCs w:val="24"/>
        </w:rPr>
      </w:pPr>
      <w:r>
        <w:rPr>
          <w:rFonts w:hint="eastAsia" w:ascii="仿宋_GB2312" w:hAnsi="仿宋" w:eastAsia="仿宋_GB2312" w:cs="仿宋"/>
          <w:sz w:val="24"/>
          <w:szCs w:val="24"/>
        </w:rPr>
        <w:t>二、请你局严格按照相关法律法规及规范标准，控制用地指标，实现用地规划的规范管理。</w:t>
      </w:r>
    </w:p>
    <w:p>
      <w:pPr>
        <w:keepNext w:val="0"/>
        <w:keepLines w:val="0"/>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eastAsia" w:ascii="仿宋_GB2312" w:hAnsi="仿宋" w:eastAsia="仿宋_GB2312" w:cs="仿宋"/>
          <w:sz w:val="24"/>
          <w:szCs w:val="24"/>
        </w:rPr>
      </w:pPr>
      <w:r>
        <w:rPr>
          <w:rFonts w:hint="eastAsia" w:ascii="仿宋_GB2312" w:hAnsi="仿宋" w:eastAsia="仿宋_GB2312" w:cs="仿宋"/>
          <w:sz w:val="24"/>
          <w:szCs w:val="24"/>
        </w:rPr>
        <w:t>特此批复。</w:t>
      </w:r>
    </w:p>
    <w:p>
      <w:pPr>
        <w:keepNext w:val="0"/>
        <w:keepLines w:val="0"/>
        <w:pageBreakBefore w:val="0"/>
        <w:widowControl w:val="0"/>
        <w:kinsoku/>
        <w:wordWrap/>
        <w:overflowPunct/>
        <w:topLinePunct w:val="0"/>
        <w:autoSpaceDE/>
        <w:autoSpaceDN/>
        <w:bidi w:val="0"/>
        <w:adjustRightInd/>
        <w:snapToGrid w:val="0"/>
        <w:spacing w:line="400" w:lineRule="exact"/>
        <w:ind w:leftChars="2300" w:firstLine="480" w:firstLineChars="200"/>
        <w:jc w:val="center"/>
        <w:textAlignment w:val="auto"/>
        <w:rPr>
          <w:rFonts w:hint="eastAsia" w:ascii="仿宋_GB2312" w:hAnsi="仿宋" w:eastAsia="仿宋_GB2312" w:cs="仿宋"/>
          <w:sz w:val="24"/>
          <w:szCs w:val="24"/>
        </w:rPr>
      </w:pPr>
      <w:r>
        <w:rPr>
          <w:rFonts w:hint="eastAsia" w:ascii="仿宋_GB2312" w:hAnsi="仿宋" w:eastAsia="仿宋_GB2312" w:cs="仿宋"/>
          <w:sz w:val="24"/>
          <w:szCs w:val="24"/>
        </w:rPr>
        <w:t>原平市人民政府</w:t>
      </w:r>
    </w:p>
    <w:p>
      <w:pPr>
        <w:keepNext w:val="0"/>
        <w:keepLines w:val="0"/>
        <w:pageBreakBefore w:val="0"/>
        <w:widowControl w:val="0"/>
        <w:kinsoku/>
        <w:wordWrap/>
        <w:overflowPunct/>
        <w:topLinePunct w:val="0"/>
        <w:autoSpaceDE/>
        <w:autoSpaceDN/>
        <w:bidi w:val="0"/>
        <w:adjustRightInd/>
        <w:snapToGrid w:val="0"/>
        <w:spacing w:line="400" w:lineRule="exact"/>
        <w:ind w:leftChars="2300" w:firstLine="480" w:firstLineChars="200"/>
        <w:jc w:val="center"/>
        <w:textAlignment w:val="auto"/>
        <w:rPr>
          <w:rFonts w:hint="eastAsia" w:ascii="仿宋_GB2312" w:hAnsi="仿宋" w:eastAsia="仿宋_GB2312" w:cs="仿宋"/>
          <w:sz w:val="24"/>
          <w:szCs w:val="24"/>
        </w:rPr>
      </w:pPr>
      <w:r>
        <w:rPr>
          <w:rFonts w:hint="eastAsia" w:ascii="仿宋_GB2312" w:hAnsi="仿宋" w:eastAsia="仿宋_GB2312" w:cs="仿宋"/>
          <w:sz w:val="24"/>
          <w:szCs w:val="24"/>
        </w:rPr>
        <w:t>2022年10月10日</w:t>
      </w:r>
    </w:p>
    <w:p>
      <w:pPr>
        <w:pStyle w:val="2"/>
        <w:bidi w:val="0"/>
        <w:rPr>
          <w:rFonts w:hint="eastAsia"/>
        </w:rPr>
      </w:pPr>
    </w:p>
    <w:p>
      <w:pPr>
        <w:pStyle w:val="2"/>
        <w:bidi w:val="0"/>
        <w:rPr>
          <w:rFonts w:hint="eastAsia"/>
        </w:rPr>
      </w:pPr>
      <w:bookmarkStart w:id="55" w:name="_Toc11718"/>
      <w:bookmarkStart w:id="56" w:name="_Toc24205"/>
      <w:r>
        <w:rPr>
          <w:rFonts w:hint="eastAsia"/>
        </w:rPr>
        <w:t>原平市人民政府</w:t>
      </w:r>
      <w:bookmarkEnd w:id="55"/>
      <w:bookmarkEnd w:id="56"/>
    </w:p>
    <w:p>
      <w:pPr>
        <w:pStyle w:val="2"/>
        <w:bidi w:val="0"/>
        <w:rPr>
          <w:rFonts w:hint="eastAsia"/>
        </w:rPr>
      </w:pPr>
      <w:bookmarkStart w:id="57" w:name="_Toc24287"/>
      <w:bookmarkStart w:id="58" w:name="_Toc16621"/>
      <w:r>
        <w:rPr>
          <w:rFonts w:hint="eastAsia"/>
        </w:rPr>
        <w:t>关于公开出让2022—43地块国有建设用地</w:t>
      </w:r>
      <w:bookmarkEnd w:id="57"/>
      <w:bookmarkEnd w:id="58"/>
    </w:p>
    <w:p>
      <w:pPr>
        <w:pStyle w:val="2"/>
        <w:bidi w:val="0"/>
        <w:rPr>
          <w:rFonts w:hint="eastAsia"/>
        </w:rPr>
      </w:pPr>
      <w:bookmarkStart w:id="59" w:name="_Toc12613"/>
      <w:bookmarkStart w:id="60" w:name="_Toc30962"/>
      <w:r>
        <w:rPr>
          <w:rFonts w:hint="eastAsia"/>
        </w:rPr>
        <w:t>使用权方案的批复</w:t>
      </w:r>
      <w:bookmarkEnd w:id="59"/>
      <w:bookmarkEnd w:id="60"/>
    </w:p>
    <w:p>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rPr>
      </w:pPr>
    </w:p>
    <w:p>
      <w:pPr>
        <w:pStyle w:val="3"/>
        <w:keepNext/>
        <w:keepLines/>
        <w:pageBreakBefore w:val="0"/>
        <w:widowControl w:val="0"/>
        <w:kinsoku/>
        <w:wordWrap/>
        <w:overflowPunct/>
        <w:topLinePunct w:val="0"/>
        <w:autoSpaceDE/>
        <w:autoSpaceDN/>
        <w:bidi w:val="0"/>
        <w:adjustRightInd/>
        <w:snapToGrid w:val="0"/>
        <w:spacing w:after="140" w:line="420" w:lineRule="exact"/>
        <w:textAlignment w:val="auto"/>
        <w:rPr>
          <w:rFonts w:hint="eastAsia"/>
        </w:rPr>
      </w:pPr>
      <w:bookmarkStart w:id="61" w:name="_Toc11088"/>
      <w:r>
        <w:rPr>
          <w:rFonts w:hint="eastAsia"/>
        </w:rPr>
        <w:t>原政函〔2022〕122号</w:t>
      </w:r>
      <w:bookmarkEnd w:id="61"/>
    </w:p>
    <w:p>
      <w:pPr>
        <w:pageBreakBefore w:val="0"/>
        <w:widowControl w:val="0"/>
        <w:kinsoku/>
        <w:wordWrap/>
        <w:overflowPunct/>
        <w:topLinePunct w:val="0"/>
        <w:autoSpaceDE/>
        <w:autoSpaceDN/>
        <w:bidi w:val="0"/>
        <w:adjustRightInd/>
        <w:snapToGrid w:val="0"/>
        <w:spacing w:line="420" w:lineRule="exact"/>
        <w:ind w:left="0" w:leftChars="0" w:firstLine="0" w:firstLineChars="0"/>
        <w:textAlignment w:val="auto"/>
        <w:outlineLvl w:val="9"/>
        <w:rPr>
          <w:rFonts w:hint="eastAsia" w:ascii="仿宋_GB2312" w:hAnsi="仿宋" w:eastAsia="仿宋_GB2312" w:cs="仿宋"/>
          <w:sz w:val="24"/>
          <w:szCs w:val="24"/>
        </w:rPr>
      </w:pPr>
      <w:r>
        <w:rPr>
          <w:rFonts w:hint="eastAsia" w:ascii="仿宋_GB2312" w:hAnsi="仿宋" w:eastAsia="仿宋_GB2312" w:cs="仿宋"/>
          <w:sz w:val="24"/>
          <w:szCs w:val="24"/>
        </w:rPr>
        <w:t>原平市自然资源局：</w:t>
      </w:r>
    </w:p>
    <w:p>
      <w:pPr>
        <w:pageBreakBefore w:val="0"/>
        <w:widowControl w:val="0"/>
        <w:kinsoku/>
        <w:wordWrap/>
        <w:overflowPunct/>
        <w:topLinePunct w:val="0"/>
        <w:autoSpaceDE/>
        <w:autoSpaceDN/>
        <w:bidi w:val="0"/>
        <w:adjustRightInd/>
        <w:snapToGrid w:val="0"/>
        <w:spacing w:line="420" w:lineRule="exact"/>
        <w:ind w:firstLine="480" w:firstLineChars="200"/>
        <w:textAlignment w:val="auto"/>
        <w:outlineLvl w:val="9"/>
        <w:rPr>
          <w:rFonts w:hint="eastAsia" w:ascii="仿宋_GB2312" w:hAnsi="仿宋" w:eastAsia="仿宋_GB2312" w:cs="仿宋"/>
          <w:sz w:val="24"/>
          <w:szCs w:val="24"/>
        </w:rPr>
      </w:pPr>
      <w:r>
        <w:rPr>
          <w:rFonts w:hint="eastAsia" w:ascii="仿宋_GB2312" w:hAnsi="仿宋" w:eastAsia="仿宋_GB2312" w:cs="仿宋"/>
          <w:sz w:val="24"/>
          <w:szCs w:val="24"/>
        </w:rPr>
        <w:t>你局《关于公开出让2022—43地块国有建设用地使用权方案的请示》(原自然资〔2022〕298号)文已收悉。经研究，批复如下：</w:t>
      </w:r>
    </w:p>
    <w:p>
      <w:pPr>
        <w:pageBreakBefore w:val="0"/>
        <w:widowControl w:val="0"/>
        <w:kinsoku/>
        <w:wordWrap/>
        <w:overflowPunct/>
        <w:topLinePunct w:val="0"/>
        <w:autoSpaceDE/>
        <w:autoSpaceDN/>
        <w:bidi w:val="0"/>
        <w:adjustRightInd/>
        <w:snapToGrid w:val="0"/>
        <w:spacing w:line="420" w:lineRule="exact"/>
        <w:ind w:firstLine="480" w:firstLineChars="200"/>
        <w:textAlignment w:val="auto"/>
        <w:outlineLvl w:val="9"/>
        <w:rPr>
          <w:rFonts w:hint="eastAsia" w:ascii="仿宋_GB2312" w:hAnsi="仿宋" w:eastAsia="仿宋_GB2312" w:cs="仿宋"/>
          <w:sz w:val="24"/>
          <w:szCs w:val="24"/>
        </w:rPr>
      </w:pPr>
      <w:r>
        <w:rPr>
          <w:rFonts w:hint="eastAsia" w:ascii="仿宋_GB2312" w:hAnsi="仿宋" w:eastAsia="仿宋_GB2312" w:cs="仿宋"/>
          <w:sz w:val="24"/>
          <w:szCs w:val="24"/>
        </w:rPr>
        <w:t>一、同意你局将位于青年街南侧、体育南路东侧、京原南路西侧56454.11平方米（84.68亩）国有建设用地使用权以拍卖方式出让。（具体四至尺寸见规划设计条件附图）</w:t>
      </w:r>
    </w:p>
    <w:p>
      <w:pPr>
        <w:pageBreakBefore w:val="0"/>
        <w:widowControl w:val="0"/>
        <w:kinsoku/>
        <w:wordWrap/>
        <w:overflowPunct/>
        <w:topLinePunct w:val="0"/>
        <w:autoSpaceDE/>
        <w:autoSpaceDN/>
        <w:bidi w:val="0"/>
        <w:adjustRightInd/>
        <w:snapToGrid w:val="0"/>
        <w:spacing w:line="420" w:lineRule="exact"/>
        <w:ind w:firstLine="480" w:firstLineChars="200"/>
        <w:textAlignment w:val="auto"/>
        <w:outlineLvl w:val="9"/>
        <w:rPr>
          <w:rFonts w:hint="eastAsia" w:ascii="仿宋_GB2312" w:hAnsi="仿宋" w:eastAsia="仿宋_GB2312" w:cs="仿宋"/>
          <w:sz w:val="24"/>
          <w:szCs w:val="24"/>
        </w:rPr>
      </w:pPr>
      <w:r>
        <w:rPr>
          <w:rFonts w:hint="eastAsia" w:ascii="仿宋_GB2312" w:hAnsi="仿宋" w:eastAsia="仿宋_GB2312" w:cs="仿宋"/>
          <w:sz w:val="24"/>
          <w:szCs w:val="24"/>
        </w:rPr>
        <w:t>二、同意该宗地用途设定为居住用地，出让年限70年。</w:t>
      </w:r>
    </w:p>
    <w:p>
      <w:pPr>
        <w:pageBreakBefore w:val="0"/>
        <w:widowControl w:val="0"/>
        <w:kinsoku/>
        <w:wordWrap/>
        <w:overflowPunct/>
        <w:topLinePunct w:val="0"/>
        <w:autoSpaceDE/>
        <w:autoSpaceDN/>
        <w:bidi w:val="0"/>
        <w:adjustRightInd/>
        <w:snapToGrid w:val="0"/>
        <w:spacing w:line="420" w:lineRule="exact"/>
        <w:ind w:firstLine="480" w:firstLineChars="200"/>
        <w:textAlignment w:val="auto"/>
        <w:outlineLvl w:val="9"/>
        <w:rPr>
          <w:rFonts w:hint="eastAsia" w:ascii="仿宋_GB2312" w:hAnsi="仿宋" w:eastAsia="仿宋_GB2312" w:cs="仿宋"/>
          <w:sz w:val="24"/>
          <w:szCs w:val="24"/>
        </w:rPr>
      </w:pPr>
      <w:r>
        <w:rPr>
          <w:rFonts w:hint="eastAsia" w:ascii="仿宋_GB2312" w:hAnsi="仿宋" w:eastAsia="仿宋_GB2312" w:cs="仿宋"/>
          <w:sz w:val="24"/>
          <w:szCs w:val="24"/>
        </w:rPr>
        <w:t>三、同意起始价确定为8045万元，保证金8045万元，加价幅度50万元。</w:t>
      </w:r>
    </w:p>
    <w:p>
      <w:pPr>
        <w:pageBreakBefore w:val="0"/>
        <w:widowControl w:val="0"/>
        <w:kinsoku/>
        <w:wordWrap/>
        <w:overflowPunct/>
        <w:topLinePunct w:val="0"/>
        <w:autoSpaceDE/>
        <w:autoSpaceDN/>
        <w:bidi w:val="0"/>
        <w:adjustRightInd/>
        <w:snapToGrid w:val="0"/>
        <w:spacing w:line="420" w:lineRule="exact"/>
        <w:ind w:firstLine="480" w:firstLineChars="200"/>
        <w:textAlignment w:val="auto"/>
        <w:outlineLvl w:val="9"/>
        <w:rPr>
          <w:rFonts w:hint="eastAsia" w:ascii="仿宋_GB2312" w:hAnsi="仿宋" w:eastAsia="仿宋_GB2312" w:cs="仿宋"/>
          <w:sz w:val="24"/>
          <w:szCs w:val="24"/>
        </w:rPr>
      </w:pPr>
      <w:r>
        <w:rPr>
          <w:rFonts w:hint="eastAsia" w:ascii="仿宋_GB2312" w:hAnsi="仿宋" w:eastAsia="仿宋_GB2312" w:cs="仿宋"/>
          <w:sz w:val="24"/>
          <w:szCs w:val="24"/>
        </w:rPr>
        <w:t>四、同意该宗地主要控制指标如下：</w:t>
      </w:r>
    </w:p>
    <w:p>
      <w:pPr>
        <w:pageBreakBefore w:val="0"/>
        <w:widowControl w:val="0"/>
        <w:kinsoku/>
        <w:wordWrap/>
        <w:overflowPunct/>
        <w:topLinePunct w:val="0"/>
        <w:autoSpaceDE/>
        <w:autoSpaceDN/>
        <w:bidi w:val="0"/>
        <w:adjustRightInd/>
        <w:snapToGrid w:val="0"/>
        <w:spacing w:line="420" w:lineRule="exact"/>
        <w:ind w:firstLine="480" w:firstLineChars="200"/>
        <w:textAlignment w:val="auto"/>
        <w:outlineLvl w:val="9"/>
        <w:rPr>
          <w:rFonts w:hint="eastAsia" w:ascii="仿宋_GB2312" w:hAnsi="仿宋" w:eastAsia="仿宋_GB2312" w:cs="仿宋"/>
          <w:sz w:val="24"/>
          <w:szCs w:val="24"/>
        </w:rPr>
      </w:pPr>
      <w:r>
        <w:rPr>
          <w:rFonts w:hint="eastAsia" w:ascii="仿宋_GB2312" w:hAnsi="仿宋" w:eastAsia="仿宋_GB2312" w:cs="仿宋"/>
          <w:sz w:val="24"/>
          <w:szCs w:val="24"/>
        </w:rPr>
        <w:t>（一）建筑密度: ≤25%；</w:t>
      </w:r>
    </w:p>
    <w:p>
      <w:pPr>
        <w:pageBreakBefore w:val="0"/>
        <w:widowControl w:val="0"/>
        <w:kinsoku/>
        <w:wordWrap/>
        <w:overflowPunct/>
        <w:topLinePunct w:val="0"/>
        <w:autoSpaceDE/>
        <w:autoSpaceDN/>
        <w:bidi w:val="0"/>
        <w:adjustRightInd/>
        <w:snapToGrid w:val="0"/>
        <w:spacing w:line="420" w:lineRule="exact"/>
        <w:ind w:firstLine="480" w:firstLineChars="200"/>
        <w:textAlignment w:val="auto"/>
        <w:outlineLvl w:val="9"/>
        <w:rPr>
          <w:rFonts w:hint="eastAsia" w:ascii="仿宋_GB2312" w:hAnsi="仿宋" w:eastAsia="仿宋_GB2312" w:cs="仿宋"/>
          <w:sz w:val="24"/>
          <w:szCs w:val="24"/>
        </w:rPr>
      </w:pPr>
      <w:r>
        <w:rPr>
          <w:rFonts w:hint="eastAsia" w:ascii="仿宋_GB2312" w:hAnsi="仿宋" w:eastAsia="仿宋_GB2312" w:cs="仿宋"/>
          <w:sz w:val="24"/>
          <w:szCs w:val="24"/>
        </w:rPr>
        <w:t>（二）绿地率: ≥30%；</w:t>
      </w:r>
    </w:p>
    <w:p>
      <w:pPr>
        <w:pageBreakBefore w:val="0"/>
        <w:widowControl w:val="0"/>
        <w:kinsoku/>
        <w:wordWrap/>
        <w:overflowPunct/>
        <w:topLinePunct w:val="0"/>
        <w:autoSpaceDE/>
        <w:autoSpaceDN/>
        <w:bidi w:val="0"/>
        <w:adjustRightInd/>
        <w:snapToGrid w:val="0"/>
        <w:spacing w:line="420" w:lineRule="exact"/>
        <w:ind w:firstLine="480" w:firstLineChars="200"/>
        <w:textAlignment w:val="auto"/>
        <w:outlineLvl w:val="9"/>
        <w:rPr>
          <w:rFonts w:hint="eastAsia" w:ascii="仿宋_GB2312" w:hAnsi="仿宋" w:eastAsia="仿宋_GB2312" w:cs="仿宋"/>
          <w:sz w:val="24"/>
          <w:szCs w:val="24"/>
        </w:rPr>
      </w:pPr>
      <w:r>
        <w:rPr>
          <w:rFonts w:hint="eastAsia" w:ascii="仿宋_GB2312" w:hAnsi="仿宋" w:eastAsia="仿宋_GB2312" w:cs="仿宋"/>
          <w:sz w:val="24"/>
          <w:szCs w:val="24"/>
        </w:rPr>
        <w:t>（三）容积率: ＞1，≤1.9；</w:t>
      </w:r>
    </w:p>
    <w:p>
      <w:pPr>
        <w:pageBreakBefore w:val="0"/>
        <w:widowControl w:val="0"/>
        <w:kinsoku/>
        <w:wordWrap/>
        <w:overflowPunct/>
        <w:topLinePunct w:val="0"/>
        <w:autoSpaceDE/>
        <w:autoSpaceDN/>
        <w:bidi w:val="0"/>
        <w:adjustRightInd/>
        <w:snapToGrid w:val="0"/>
        <w:spacing w:line="420" w:lineRule="exact"/>
        <w:ind w:firstLine="480" w:firstLineChars="200"/>
        <w:textAlignment w:val="auto"/>
        <w:outlineLvl w:val="9"/>
        <w:rPr>
          <w:rFonts w:hint="eastAsia" w:ascii="仿宋_GB2312" w:hAnsi="仿宋" w:eastAsia="仿宋_GB2312" w:cs="仿宋"/>
          <w:sz w:val="24"/>
          <w:szCs w:val="24"/>
        </w:rPr>
      </w:pPr>
      <w:r>
        <w:rPr>
          <w:rFonts w:hint="eastAsia" w:ascii="仿宋_GB2312" w:hAnsi="仿宋" w:eastAsia="仿宋_GB2312" w:cs="仿宋"/>
          <w:sz w:val="24"/>
          <w:szCs w:val="24"/>
        </w:rPr>
        <w:t>（四）建筑限高：＜60米（18层），限深10米。</w:t>
      </w:r>
    </w:p>
    <w:p>
      <w:pPr>
        <w:pageBreakBefore w:val="0"/>
        <w:widowControl w:val="0"/>
        <w:kinsoku/>
        <w:wordWrap/>
        <w:overflowPunct/>
        <w:topLinePunct w:val="0"/>
        <w:autoSpaceDE/>
        <w:autoSpaceDN/>
        <w:bidi w:val="0"/>
        <w:adjustRightInd/>
        <w:snapToGrid w:val="0"/>
        <w:spacing w:line="420" w:lineRule="exact"/>
        <w:ind w:firstLine="480" w:firstLineChars="200"/>
        <w:textAlignment w:val="auto"/>
        <w:outlineLvl w:val="9"/>
        <w:rPr>
          <w:rFonts w:hint="eastAsia" w:ascii="仿宋_GB2312" w:hAnsi="仿宋" w:eastAsia="仿宋_GB2312" w:cs="仿宋"/>
          <w:sz w:val="24"/>
          <w:szCs w:val="24"/>
        </w:rPr>
      </w:pPr>
      <w:r>
        <w:rPr>
          <w:rFonts w:hint="eastAsia" w:ascii="仿宋_GB2312" w:hAnsi="仿宋" w:eastAsia="仿宋_GB2312" w:cs="仿宋"/>
          <w:sz w:val="24"/>
          <w:szCs w:val="24"/>
        </w:rPr>
        <w:t>五、同意按《原平市人民政府关于原山西省原平水泥电杆厂国有划拨建设用地使用权收储方案的批复》（原政函〔2022〕119号）文件核定出让成本为4548.3439万元，土地成交后由市财政局拨付给山西省原平水泥电杆厂。竞得人须与原平水泥电杆厂签订土地及地上建筑物拆除补偿协议。</w:t>
      </w:r>
    </w:p>
    <w:p>
      <w:pPr>
        <w:pageBreakBefore w:val="0"/>
        <w:widowControl w:val="0"/>
        <w:kinsoku/>
        <w:wordWrap/>
        <w:overflowPunct/>
        <w:topLinePunct w:val="0"/>
        <w:autoSpaceDE/>
        <w:autoSpaceDN/>
        <w:bidi w:val="0"/>
        <w:adjustRightInd/>
        <w:snapToGrid w:val="0"/>
        <w:spacing w:line="420" w:lineRule="exact"/>
        <w:ind w:firstLine="480" w:firstLineChars="200"/>
        <w:textAlignment w:val="auto"/>
        <w:outlineLvl w:val="9"/>
        <w:rPr>
          <w:rFonts w:hint="eastAsia" w:ascii="仿宋_GB2312" w:hAnsi="仿宋" w:eastAsia="仿宋_GB2312" w:cs="仿宋"/>
          <w:sz w:val="24"/>
          <w:szCs w:val="24"/>
        </w:rPr>
      </w:pPr>
      <w:r>
        <w:rPr>
          <w:rFonts w:hint="eastAsia" w:ascii="仿宋_GB2312" w:hAnsi="仿宋" w:eastAsia="仿宋_GB2312" w:cs="仿宋"/>
          <w:sz w:val="24"/>
          <w:szCs w:val="24"/>
        </w:rPr>
        <w:t>六、同意此地块北侧公园绿地划拨给市住房城乡建设局，面积23471㎡（35.21亩），由竞得人负责建设，投资不少于1000万元；南侧小区道路划拨给市住房城乡建设局，土地面积7538㎡（11.31亩），由竞得人负责建设；小区道路南侧建设一座学校（含幼儿园、小学、初中），土地面积37576.32㎡（56.36亩），按收储成本（25万元/亩）划拨给竞得人。学校由竞得人负责建设，建筑面积不少于30000㎡。</w:t>
      </w:r>
    </w:p>
    <w:p>
      <w:pPr>
        <w:pageBreakBefore w:val="0"/>
        <w:widowControl w:val="0"/>
        <w:kinsoku/>
        <w:wordWrap/>
        <w:overflowPunct/>
        <w:topLinePunct w:val="0"/>
        <w:autoSpaceDE/>
        <w:autoSpaceDN/>
        <w:bidi w:val="0"/>
        <w:adjustRightInd/>
        <w:snapToGrid w:val="0"/>
        <w:spacing w:line="420" w:lineRule="exact"/>
        <w:ind w:firstLine="480" w:firstLineChars="200"/>
        <w:textAlignment w:val="auto"/>
        <w:outlineLvl w:val="9"/>
        <w:rPr>
          <w:rFonts w:hint="eastAsia" w:ascii="仿宋_GB2312" w:hAnsi="仿宋" w:eastAsia="仿宋_GB2312" w:cs="仿宋"/>
          <w:sz w:val="24"/>
          <w:szCs w:val="24"/>
        </w:rPr>
      </w:pPr>
      <w:r>
        <w:rPr>
          <w:rFonts w:hint="eastAsia" w:ascii="仿宋_GB2312" w:hAnsi="仿宋" w:eastAsia="仿宋_GB2312" w:cs="仿宋"/>
          <w:sz w:val="24"/>
          <w:szCs w:val="24"/>
        </w:rPr>
        <w:t>上述公园、道路由竞得人建成后移交给市政府管理和使用。学校由竞得人建成后无偿提供给市政府用于办学使用。</w:t>
      </w:r>
    </w:p>
    <w:p>
      <w:pPr>
        <w:pageBreakBefore w:val="0"/>
        <w:widowControl w:val="0"/>
        <w:kinsoku/>
        <w:wordWrap/>
        <w:overflowPunct/>
        <w:topLinePunct w:val="0"/>
        <w:autoSpaceDE/>
        <w:autoSpaceDN/>
        <w:bidi w:val="0"/>
        <w:adjustRightInd/>
        <w:snapToGrid w:val="0"/>
        <w:spacing w:line="420" w:lineRule="exact"/>
        <w:ind w:firstLine="480" w:firstLineChars="200"/>
        <w:textAlignment w:val="auto"/>
        <w:outlineLvl w:val="9"/>
        <w:rPr>
          <w:rFonts w:hint="eastAsia" w:ascii="仿宋_GB2312" w:hAnsi="仿宋" w:eastAsia="仿宋_GB2312" w:cs="仿宋"/>
          <w:sz w:val="24"/>
          <w:szCs w:val="24"/>
        </w:rPr>
      </w:pPr>
      <w:r>
        <w:rPr>
          <w:rFonts w:hint="eastAsia" w:ascii="仿宋_GB2312" w:hAnsi="仿宋" w:eastAsia="仿宋_GB2312" w:cs="仿宋"/>
          <w:sz w:val="24"/>
          <w:szCs w:val="24"/>
        </w:rPr>
        <w:t>七、请你局尽快按拟定方案办理出让事宜。</w:t>
      </w:r>
    </w:p>
    <w:p>
      <w:pPr>
        <w:pageBreakBefore w:val="0"/>
        <w:widowControl w:val="0"/>
        <w:kinsoku/>
        <w:wordWrap/>
        <w:overflowPunct/>
        <w:topLinePunct w:val="0"/>
        <w:autoSpaceDE/>
        <w:autoSpaceDN/>
        <w:bidi w:val="0"/>
        <w:adjustRightInd/>
        <w:snapToGrid w:val="0"/>
        <w:spacing w:line="420" w:lineRule="exact"/>
        <w:ind w:firstLine="480" w:firstLineChars="200"/>
        <w:textAlignment w:val="auto"/>
        <w:outlineLvl w:val="9"/>
        <w:rPr>
          <w:rFonts w:hint="eastAsia" w:ascii="仿宋_GB2312" w:hAnsi="仿宋" w:eastAsia="仿宋_GB2312" w:cs="仿宋"/>
          <w:sz w:val="24"/>
          <w:szCs w:val="24"/>
        </w:rPr>
      </w:pPr>
      <w:r>
        <w:rPr>
          <w:rFonts w:hint="eastAsia" w:ascii="仿宋_GB2312" w:hAnsi="仿宋" w:eastAsia="仿宋_GB2312" w:cs="仿宋"/>
          <w:sz w:val="24"/>
          <w:szCs w:val="24"/>
        </w:rPr>
        <w:t>特此批复。</w:t>
      </w:r>
    </w:p>
    <w:p>
      <w:pPr>
        <w:pageBreakBefore w:val="0"/>
        <w:widowControl w:val="0"/>
        <w:kinsoku/>
        <w:wordWrap/>
        <w:overflowPunct/>
        <w:topLinePunct w:val="0"/>
        <w:autoSpaceDE/>
        <w:autoSpaceDN/>
        <w:bidi w:val="0"/>
        <w:adjustRightInd/>
        <w:snapToGrid w:val="0"/>
        <w:spacing w:line="420" w:lineRule="exact"/>
        <w:ind w:left="4800" w:leftChars="2000" w:firstLine="480" w:firstLineChars="200"/>
        <w:jc w:val="center"/>
        <w:textAlignment w:val="auto"/>
        <w:outlineLvl w:val="9"/>
        <w:rPr>
          <w:rFonts w:hint="eastAsia" w:ascii="仿宋_GB2312" w:hAnsi="仿宋" w:eastAsia="仿宋_GB2312" w:cs="仿宋"/>
          <w:sz w:val="24"/>
          <w:szCs w:val="24"/>
        </w:rPr>
      </w:pPr>
    </w:p>
    <w:p>
      <w:pPr>
        <w:pageBreakBefore w:val="0"/>
        <w:widowControl w:val="0"/>
        <w:kinsoku/>
        <w:wordWrap/>
        <w:overflowPunct/>
        <w:topLinePunct w:val="0"/>
        <w:autoSpaceDE/>
        <w:autoSpaceDN/>
        <w:bidi w:val="0"/>
        <w:adjustRightInd/>
        <w:snapToGrid w:val="0"/>
        <w:spacing w:line="420" w:lineRule="exact"/>
        <w:ind w:left="5040" w:leftChars="2100" w:firstLine="480" w:firstLineChars="200"/>
        <w:jc w:val="center"/>
        <w:textAlignment w:val="auto"/>
        <w:outlineLvl w:val="9"/>
        <w:rPr>
          <w:rFonts w:hint="eastAsia" w:ascii="仿宋_GB2312" w:hAnsi="仿宋" w:eastAsia="仿宋_GB2312" w:cs="仿宋"/>
          <w:sz w:val="24"/>
          <w:szCs w:val="24"/>
        </w:rPr>
      </w:pPr>
      <w:r>
        <w:rPr>
          <w:rFonts w:hint="eastAsia" w:ascii="仿宋_GB2312" w:hAnsi="仿宋" w:eastAsia="仿宋_GB2312" w:cs="仿宋"/>
          <w:sz w:val="24"/>
          <w:szCs w:val="24"/>
        </w:rPr>
        <w:t>原平市人民政府</w:t>
      </w:r>
    </w:p>
    <w:p>
      <w:pPr>
        <w:pageBreakBefore w:val="0"/>
        <w:widowControl w:val="0"/>
        <w:kinsoku/>
        <w:wordWrap/>
        <w:overflowPunct/>
        <w:topLinePunct w:val="0"/>
        <w:autoSpaceDE/>
        <w:autoSpaceDN/>
        <w:bidi w:val="0"/>
        <w:adjustRightInd/>
        <w:snapToGrid w:val="0"/>
        <w:spacing w:line="420" w:lineRule="exact"/>
        <w:ind w:left="5040" w:leftChars="2100"/>
        <w:jc w:val="center"/>
        <w:textAlignment w:val="auto"/>
        <w:outlineLvl w:val="9"/>
        <w:rPr>
          <w:rFonts w:hint="eastAsia"/>
        </w:rPr>
      </w:pPr>
      <w:bookmarkStart w:id="62" w:name="_Toc32262"/>
      <w:r>
        <w:rPr>
          <w:rFonts w:hint="eastAsia" w:ascii="仿宋_GB2312" w:hAnsi="仿宋" w:eastAsia="仿宋_GB2312" w:cs="仿宋"/>
          <w:sz w:val="24"/>
          <w:szCs w:val="24"/>
        </w:rPr>
        <w:t>2022年10月28日</w:t>
      </w:r>
      <w:bookmarkEnd w:id="62"/>
    </w:p>
    <w:p>
      <w:pPr>
        <w:pStyle w:val="2"/>
        <w:bidi w:val="0"/>
        <w:rPr>
          <w:rFonts w:hint="eastAsia"/>
        </w:rPr>
      </w:pPr>
    </w:p>
    <w:p>
      <w:pPr>
        <w:pStyle w:val="2"/>
        <w:bidi w:val="0"/>
        <w:rPr>
          <w:rFonts w:hint="eastAsia"/>
        </w:rPr>
      </w:pPr>
      <w:bookmarkStart w:id="63" w:name="_Toc11479"/>
      <w:bookmarkStart w:id="64" w:name="_Toc23909"/>
      <w:r>
        <w:rPr>
          <w:rFonts w:hint="eastAsia"/>
        </w:rPr>
        <w:t>原平市人民政府办公室</w:t>
      </w:r>
      <w:bookmarkEnd w:id="63"/>
      <w:bookmarkEnd w:id="64"/>
    </w:p>
    <w:p>
      <w:pPr>
        <w:pStyle w:val="2"/>
        <w:bidi w:val="0"/>
        <w:rPr>
          <w:rFonts w:hint="eastAsia"/>
        </w:rPr>
      </w:pPr>
      <w:bookmarkStart w:id="65" w:name="_Toc21973"/>
      <w:bookmarkStart w:id="66" w:name="_Toc19146"/>
      <w:r>
        <w:rPr>
          <w:rFonts w:hint="eastAsia"/>
        </w:rPr>
        <w:t>关于印发原平市乡（镇、街道）集中式饮用水</w:t>
      </w:r>
      <w:bookmarkEnd w:id="65"/>
      <w:bookmarkEnd w:id="66"/>
    </w:p>
    <w:p>
      <w:pPr>
        <w:pStyle w:val="2"/>
        <w:bidi w:val="0"/>
        <w:rPr>
          <w:rFonts w:hint="eastAsia"/>
        </w:rPr>
      </w:pPr>
      <w:bookmarkStart w:id="67" w:name="_Toc7293"/>
      <w:bookmarkStart w:id="68" w:name="_Toc6682"/>
      <w:r>
        <w:rPr>
          <w:rFonts w:hint="eastAsia"/>
        </w:rPr>
        <w:t>水源地突发环境事件应急预案的通知</w:t>
      </w:r>
      <w:bookmarkEnd w:id="67"/>
      <w:bookmarkEnd w:id="68"/>
    </w:p>
    <w:p>
      <w:pPr>
        <w:pStyle w:val="3"/>
        <w:keepNext/>
        <w:keepLines/>
        <w:pageBreakBefore w:val="0"/>
        <w:widowControl w:val="0"/>
        <w:kinsoku/>
        <w:wordWrap/>
        <w:overflowPunct/>
        <w:topLinePunct w:val="0"/>
        <w:autoSpaceDE/>
        <w:autoSpaceDN/>
        <w:bidi w:val="0"/>
        <w:adjustRightInd/>
        <w:snapToGrid w:val="0"/>
        <w:spacing w:after="140"/>
        <w:textAlignment w:val="auto"/>
        <w:rPr>
          <w:rFonts w:hint="eastAsia" w:cstheme="minorBidi"/>
          <w:sz w:val="24"/>
        </w:rPr>
      </w:pPr>
    </w:p>
    <w:p>
      <w:pPr>
        <w:pStyle w:val="3"/>
        <w:keepNext/>
        <w:keepLines/>
        <w:pageBreakBefore w:val="0"/>
        <w:widowControl w:val="0"/>
        <w:kinsoku/>
        <w:wordWrap/>
        <w:overflowPunct/>
        <w:topLinePunct w:val="0"/>
        <w:autoSpaceDE/>
        <w:autoSpaceDN/>
        <w:bidi w:val="0"/>
        <w:adjustRightInd/>
        <w:snapToGrid w:val="0"/>
        <w:spacing w:after="140"/>
        <w:textAlignment w:val="auto"/>
        <w:rPr>
          <w:rFonts w:hint="eastAsia"/>
        </w:rPr>
      </w:pPr>
      <w:bookmarkStart w:id="69" w:name="_Toc15969"/>
      <w:bookmarkStart w:id="70" w:name="_Toc7633"/>
      <w:r>
        <w:rPr>
          <w:rFonts w:hint="eastAsia"/>
        </w:rPr>
        <w:t>原政办发〔2022〕34号</w:t>
      </w:r>
      <w:bookmarkEnd w:id="69"/>
      <w:bookmarkEnd w:id="70"/>
    </w:p>
    <w:p>
      <w:pPr>
        <w:keepNext w:val="0"/>
        <w:keepLines w:val="0"/>
        <w:pageBreakBefore w:val="0"/>
        <w:widowControl w:val="0"/>
        <w:kinsoku/>
        <w:wordWrap/>
        <w:overflowPunct/>
        <w:topLinePunct w:val="0"/>
        <w:autoSpaceDE/>
        <w:autoSpaceDN/>
        <w:bidi w:val="0"/>
        <w:adjustRightInd/>
        <w:snapToGrid w:val="0"/>
        <w:spacing w:line="440" w:lineRule="exact"/>
        <w:ind w:firstLine="0" w:firstLineChars="0"/>
        <w:textAlignment w:val="auto"/>
        <w:rPr>
          <w:rFonts w:hint="eastAsia" w:ascii="仿宋_GB2312" w:hAnsi="仿宋_GB2312" w:eastAsia="仿宋_GB2312" w:cstheme="minorBidi"/>
          <w:sz w:val="24"/>
        </w:rPr>
      </w:pPr>
      <w:r>
        <w:rPr>
          <w:rFonts w:hint="eastAsia" w:ascii="仿宋_GB2312" w:hAnsi="仿宋_GB2312" w:eastAsia="仿宋_GB2312" w:cstheme="minorBidi"/>
          <w:sz w:val="24"/>
        </w:rPr>
        <w:t>各乡（镇）人民政府，各有关单位：</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仿宋_GB2312" w:hAnsi="仿宋_GB2312" w:eastAsia="仿宋_GB2312" w:cstheme="minorBidi"/>
          <w:sz w:val="24"/>
        </w:rPr>
      </w:pPr>
      <w:r>
        <w:rPr>
          <w:rFonts w:hint="eastAsia" w:ascii="仿宋_GB2312" w:hAnsi="仿宋_GB2312" w:eastAsia="仿宋_GB2312" w:cstheme="minorBidi"/>
          <w:sz w:val="24"/>
        </w:rPr>
        <w:t>《原平市乡（镇、街道）集中式饮用水水源地突发环境事件应急预案》已经市政府研究同意，现印发给你们，请认真贯彻落实。</w:t>
      </w:r>
    </w:p>
    <w:p>
      <w:pPr>
        <w:keepNext w:val="0"/>
        <w:keepLines w:val="0"/>
        <w:pageBreakBefore w:val="0"/>
        <w:widowControl w:val="0"/>
        <w:kinsoku/>
        <w:wordWrap/>
        <w:overflowPunct/>
        <w:topLinePunct w:val="0"/>
        <w:autoSpaceDE/>
        <w:autoSpaceDN/>
        <w:bidi w:val="0"/>
        <w:adjustRightInd/>
        <w:snapToGrid w:val="0"/>
        <w:spacing w:line="440" w:lineRule="exact"/>
        <w:textAlignment w:val="auto"/>
        <w:rPr>
          <w:rFonts w:ascii="仿宋_GB2312" w:eastAsia="仿宋_GB2312"/>
          <w:sz w:val="32"/>
          <w:szCs w:val="32"/>
        </w:rPr>
      </w:pPr>
    </w:p>
    <w:p>
      <w:pPr>
        <w:keepNext w:val="0"/>
        <w:keepLines w:val="0"/>
        <w:pageBreakBefore w:val="0"/>
        <w:widowControl w:val="0"/>
        <w:kinsoku/>
        <w:wordWrap/>
        <w:overflowPunct/>
        <w:topLinePunct w:val="0"/>
        <w:autoSpaceDE/>
        <w:autoSpaceDN/>
        <w:bidi w:val="0"/>
        <w:adjustRightInd/>
        <w:snapToGrid w:val="0"/>
        <w:spacing w:line="440" w:lineRule="exact"/>
        <w:ind w:firstLine="6240" w:firstLineChars="2600"/>
        <w:textAlignment w:val="auto"/>
        <w:rPr>
          <w:rFonts w:hint="eastAsia" w:ascii="仿宋_GB2312" w:hAnsi="仿宋_GB2312" w:eastAsia="仿宋_GB2312" w:cstheme="minorBidi"/>
          <w:sz w:val="24"/>
        </w:rPr>
      </w:pPr>
      <w:r>
        <w:rPr>
          <w:rFonts w:hint="eastAsia" w:ascii="仿宋_GB2312" w:hAnsi="仿宋_GB2312" w:eastAsia="仿宋_GB2312" w:cstheme="minorBidi"/>
          <w:sz w:val="24"/>
        </w:rPr>
        <w:t xml:space="preserve">原平市人民政府办公室      </w:t>
      </w:r>
    </w:p>
    <w:p>
      <w:pPr>
        <w:keepNext w:val="0"/>
        <w:keepLines w:val="0"/>
        <w:pageBreakBefore w:val="0"/>
        <w:widowControl w:val="0"/>
        <w:kinsoku/>
        <w:wordWrap/>
        <w:overflowPunct/>
        <w:topLinePunct w:val="0"/>
        <w:autoSpaceDE/>
        <w:autoSpaceDN/>
        <w:bidi w:val="0"/>
        <w:adjustRightInd/>
        <w:snapToGrid w:val="0"/>
        <w:spacing w:line="440" w:lineRule="exact"/>
        <w:ind w:left="0" w:leftChars="0" w:firstLine="5520" w:firstLineChars="2300"/>
        <w:jc w:val="center"/>
        <w:textAlignment w:val="auto"/>
        <w:rPr>
          <w:rFonts w:hint="eastAsia"/>
        </w:rPr>
      </w:pPr>
      <w:r>
        <w:rPr>
          <w:rFonts w:hint="eastAsia" w:ascii="仿宋_GB2312" w:hAnsi="仿宋_GB2312" w:eastAsia="仿宋_GB2312" w:cstheme="minorBidi"/>
          <w:sz w:val="24"/>
        </w:rPr>
        <w:t>2022年9月6日</w:t>
      </w:r>
      <w:r>
        <w:rPr>
          <w:rFonts w:ascii="仿宋_GB2312" w:eastAsia="仿宋_GB2312" w:cs="仿宋_GB2312"/>
          <w:sz w:val="32"/>
          <w:szCs w:val="32"/>
        </w:rPr>
        <w:t xml:space="preserve">   </w:t>
      </w:r>
    </w:p>
    <w:p>
      <w:pPr>
        <w:keepNext w:val="0"/>
        <w:keepLines w:val="0"/>
        <w:pageBreakBefore w:val="0"/>
        <w:widowControl w:val="0"/>
        <w:kinsoku/>
        <w:wordWrap/>
        <w:overflowPunct/>
        <w:topLinePunct w:val="0"/>
        <w:autoSpaceDE/>
        <w:autoSpaceDN/>
        <w:bidi w:val="0"/>
        <w:adjustRightInd/>
        <w:snapToGrid w:val="0"/>
        <w:ind w:left="0" w:leftChars="0" w:firstLine="5520" w:firstLineChars="2300"/>
        <w:jc w:val="center"/>
        <w:textAlignment w:val="auto"/>
        <w:rPr>
          <w:rFonts w:hint="eastAsia"/>
        </w:rPr>
      </w:pPr>
    </w:p>
    <w:p>
      <w:pPr>
        <w:pStyle w:val="32"/>
        <w:bidi w:val="0"/>
        <w:rPr>
          <w:rFonts w:hint="eastAsia"/>
        </w:rPr>
      </w:pPr>
      <w:bookmarkStart w:id="71" w:name="_Toc2907"/>
      <w:r>
        <w:rPr>
          <w:rFonts w:hint="eastAsia"/>
        </w:rPr>
        <w:t>原平市乡（镇、街道）集中式饮用水水源地突发环境事件应急预案</w:t>
      </w:r>
      <w:bookmarkEnd w:id="71"/>
    </w:p>
    <w:p>
      <w:pPr>
        <w:bidi w:val="0"/>
        <w:rPr>
          <w:rFonts w:hint="eastAsia"/>
        </w:rPr>
      </w:pPr>
    </w:p>
    <w:p>
      <w:pPr>
        <w:bidi w:val="0"/>
        <w:rPr>
          <w:rFonts w:hint="eastAsia"/>
        </w:rPr>
        <w:sectPr>
          <w:headerReference r:id="rId13" w:type="default"/>
          <w:footerReference r:id="rId15" w:type="default"/>
          <w:headerReference r:id="rId14" w:type="even"/>
          <w:footerReference r:id="rId16" w:type="even"/>
          <w:pgSz w:w="12240" w:h="16498"/>
          <w:pgMar w:top="1145" w:right="1389" w:bottom="1134" w:left="1389" w:header="1043" w:footer="992" w:gutter="0"/>
          <w:pgNumType w:fmt="decimal"/>
          <w:cols w:space="0" w:num="1"/>
          <w:rtlGutter w:val="0"/>
          <w:docGrid w:type="lines" w:linePitch="312" w:charSpace="0"/>
        </w:sectPr>
      </w:pPr>
    </w:p>
    <w:p>
      <w:pPr>
        <w:pStyle w:val="4"/>
        <w:bidi w:val="0"/>
        <w:rPr>
          <w:rFonts w:hint="eastAsia"/>
        </w:rPr>
      </w:pPr>
      <w:r>
        <w:rPr>
          <w:rFonts w:hint="eastAsia"/>
        </w:rPr>
        <w:t>1  总  则</w:t>
      </w:r>
    </w:p>
    <w:p>
      <w:pPr>
        <w:pStyle w:val="5"/>
        <w:bidi w:val="0"/>
        <w:rPr>
          <w:rFonts w:hint="eastAsia"/>
        </w:rPr>
      </w:pPr>
      <w:r>
        <w:rPr>
          <w:rFonts w:hint="eastAsia"/>
        </w:rPr>
        <w:t>1.1  编制目的</w:t>
      </w:r>
    </w:p>
    <w:p>
      <w:pPr>
        <w:keepNext w:val="0"/>
        <w:keepLines w:val="0"/>
        <w:pageBreakBefore w:val="0"/>
        <w:widowControl w:val="0"/>
        <w:kinsoku/>
        <w:wordWrap/>
        <w:overflowPunct/>
        <w:topLinePunct w:val="0"/>
        <w:autoSpaceDE/>
        <w:autoSpaceDN/>
        <w:bidi w:val="0"/>
        <w:adjustRightInd/>
        <w:snapToGrid/>
        <w:spacing w:line="458" w:lineRule="exact"/>
        <w:textAlignment w:val="auto"/>
        <w:rPr>
          <w:rFonts w:hint="eastAsia" w:ascii="仿宋_GB2312" w:eastAsia="仿宋_GB2312"/>
          <w:sz w:val="24"/>
          <w:szCs w:val="24"/>
        </w:rPr>
      </w:pPr>
      <w:r>
        <w:rPr>
          <w:rFonts w:hint="eastAsia" w:ascii="仿宋_GB2312" w:eastAsia="仿宋_GB2312"/>
          <w:sz w:val="24"/>
          <w:szCs w:val="24"/>
        </w:rPr>
        <w:t>确保原平市乡（镇、街道）集中式饮用水水源地水质达标，保障原平市居民饮用水安全卫生，保障人民群众生命健康和财产安全，提高政府应对饮用水水源地突发环境事件的能力；为健全原平市乡（镇、街道）集中式饮用水水源地突发环境事件的应急机制，有效预防、及时控制和消除突发环境事件的危害，保障供水安全，维护社会稳定，特制定本预案。</w:t>
      </w:r>
    </w:p>
    <w:p>
      <w:pPr>
        <w:pStyle w:val="5"/>
        <w:bidi w:val="0"/>
        <w:rPr>
          <w:rFonts w:hint="eastAsia"/>
        </w:rPr>
      </w:pPr>
      <w:r>
        <w:rPr>
          <w:rFonts w:hint="eastAsia"/>
        </w:rPr>
        <w:t>1.2  编制依据</w:t>
      </w:r>
    </w:p>
    <w:p>
      <w:pPr>
        <w:keepNext w:val="0"/>
        <w:keepLines w:val="0"/>
        <w:pageBreakBefore w:val="0"/>
        <w:widowControl w:val="0"/>
        <w:kinsoku/>
        <w:wordWrap/>
        <w:overflowPunct/>
        <w:topLinePunct w:val="0"/>
        <w:autoSpaceDE/>
        <w:autoSpaceDN/>
        <w:bidi w:val="0"/>
        <w:adjustRightInd/>
        <w:snapToGrid/>
        <w:spacing w:line="458" w:lineRule="exact"/>
        <w:textAlignment w:val="auto"/>
        <w:rPr>
          <w:rFonts w:hint="eastAsia" w:ascii="仿宋_GB2312" w:eastAsia="仿宋_GB2312"/>
          <w:sz w:val="24"/>
          <w:szCs w:val="24"/>
        </w:rPr>
      </w:pPr>
      <w:r>
        <w:rPr>
          <w:rFonts w:hint="eastAsia" w:ascii="仿宋_GB2312" w:eastAsia="仿宋_GB2312"/>
          <w:sz w:val="24"/>
          <w:szCs w:val="24"/>
        </w:rPr>
        <w:t>《中华人民共和国突发事件应对法》《中华人民共和国环境保护法》《国家突发环境事件应急预案》《突发环境事件应急管理办法》《突发环境事件信息报告办法》《突发环境事件调查处理办法》《山西省突发事件应对条例》《山西省突发事件应急预案管理办法》《山西省突发环境事件应急预案》《集中式饮用水水源环境保护指南（试行）》等法律法规。</w:t>
      </w:r>
    </w:p>
    <w:p>
      <w:pPr>
        <w:pStyle w:val="5"/>
        <w:bidi w:val="0"/>
        <w:rPr>
          <w:rFonts w:hint="eastAsia"/>
        </w:rPr>
      </w:pPr>
      <w:r>
        <w:rPr>
          <w:rFonts w:hint="eastAsia"/>
        </w:rPr>
        <w:t>1.3  适用范围</w:t>
      </w:r>
    </w:p>
    <w:p>
      <w:pPr>
        <w:keepNext w:val="0"/>
        <w:keepLines w:val="0"/>
        <w:pageBreakBefore w:val="0"/>
        <w:widowControl w:val="0"/>
        <w:kinsoku/>
        <w:wordWrap/>
        <w:overflowPunct/>
        <w:topLinePunct w:val="0"/>
        <w:autoSpaceDE/>
        <w:autoSpaceDN/>
        <w:bidi w:val="0"/>
        <w:adjustRightInd/>
        <w:snapToGrid/>
        <w:spacing w:line="458" w:lineRule="exact"/>
        <w:textAlignment w:val="auto"/>
        <w:rPr>
          <w:rFonts w:hint="eastAsia" w:ascii="仿宋_GB2312" w:eastAsia="仿宋_GB2312"/>
          <w:sz w:val="24"/>
          <w:szCs w:val="24"/>
        </w:rPr>
      </w:pPr>
      <w:r>
        <w:rPr>
          <w:rFonts w:hint="eastAsia" w:ascii="仿宋_GB2312" w:eastAsia="仿宋_GB2312"/>
          <w:sz w:val="24"/>
          <w:szCs w:val="24"/>
        </w:rPr>
        <w:t>本预案适用范围为原平市乡（镇、街道）集中式饮用水水源地一级、二级保护区范围内发生或者可能造成重大水源污染事件，严重影响乡（镇、街道）居民饮用水安全和对本地区社会稳定、政治安定构成重大威胁、有重大社会影响的突发环境事件的预警、处置、善后等工作。由于二次供水造成的供水污染事件不在本预案范围内。</w:t>
      </w:r>
    </w:p>
    <w:p>
      <w:pPr>
        <w:pStyle w:val="4"/>
        <w:bidi w:val="0"/>
        <w:rPr>
          <w:rFonts w:hint="eastAsia"/>
        </w:rPr>
      </w:pPr>
      <w:r>
        <w:rPr>
          <w:rFonts w:hint="eastAsia"/>
        </w:rPr>
        <w:t>2  应急组织机构与职责</w:t>
      </w:r>
    </w:p>
    <w:p>
      <w:pPr>
        <w:pStyle w:val="5"/>
        <w:pageBreakBefore w:val="0"/>
        <w:widowControl w:val="0"/>
        <w:kinsoku/>
        <w:wordWrap/>
        <w:overflowPunct/>
        <w:topLinePunct w:val="0"/>
        <w:autoSpaceDE/>
        <w:autoSpaceDN/>
        <w:bidi w:val="0"/>
        <w:adjustRightInd/>
        <w:spacing w:line="458" w:lineRule="exact"/>
        <w:textAlignment w:val="auto"/>
        <w:rPr>
          <w:rFonts w:hint="eastAsia"/>
        </w:rPr>
      </w:pPr>
      <w:r>
        <w:rPr>
          <w:rFonts w:hint="eastAsia"/>
        </w:rPr>
        <w:t>2.1  应急组织指挥体系</w:t>
      </w:r>
    </w:p>
    <w:p>
      <w:pPr>
        <w:keepNext w:val="0"/>
        <w:keepLines w:val="0"/>
        <w:pageBreakBefore w:val="0"/>
        <w:widowControl w:val="0"/>
        <w:kinsoku/>
        <w:wordWrap/>
        <w:overflowPunct/>
        <w:topLinePunct w:val="0"/>
        <w:autoSpaceDE/>
        <w:autoSpaceDN/>
        <w:bidi w:val="0"/>
        <w:adjustRightInd/>
        <w:snapToGrid/>
        <w:spacing w:line="458" w:lineRule="exact"/>
        <w:textAlignment w:val="auto"/>
        <w:rPr>
          <w:rFonts w:hint="eastAsia" w:ascii="仿宋_GB2312" w:eastAsia="仿宋_GB2312"/>
          <w:sz w:val="24"/>
          <w:szCs w:val="24"/>
        </w:rPr>
      </w:pPr>
      <w:r>
        <w:rPr>
          <w:rFonts w:hint="eastAsia" w:ascii="仿宋_GB2312" w:eastAsia="仿宋_GB2312"/>
          <w:sz w:val="24"/>
          <w:szCs w:val="24"/>
        </w:rPr>
        <w:t>依据《关于印发原平市城镇集中式饮用水水源地突发环境事件应急预案的通知》（原政发办〔2022〕33号），市政府成立了原平市水源应急指挥部，城镇和乡（镇、街道）集中式饮用水水源地突发环境事件由原平市水源应急指挥部统一进行指挥。为保障应急工作的高效性，各乡（镇、街道）成立乡（镇、街道）现场指挥部及其综合办公室、乡（镇、街道）现场应急工作小组，第一时间开展现场应急处置工作。</w:t>
      </w:r>
    </w:p>
    <w:p>
      <w:pPr>
        <w:keepNext w:val="0"/>
        <w:keepLines w:val="0"/>
        <w:pageBreakBefore w:val="0"/>
        <w:widowControl w:val="0"/>
        <w:kinsoku/>
        <w:wordWrap/>
        <w:overflowPunct/>
        <w:topLinePunct w:val="0"/>
        <w:autoSpaceDE/>
        <w:autoSpaceDN/>
        <w:bidi w:val="0"/>
        <w:adjustRightInd/>
        <w:snapToGrid/>
        <w:spacing w:line="458" w:lineRule="exact"/>
        <w:textAlignment w:val="auto"/>
        <w:rPr>
          <w:rFonts w:hint="eastAsia" w:ascii="仿宋_GB2312" w:eastAsia="仿宋_GB2312"/>
          <w:sz w:val="24"/>
          <w:szCs w:val="24"/>
        </w:rPr>
      </w:pPr>
      <w:r>
        <w:rPr>
          <w:rFonts w:hint="eastAsia" w:ascii="仿宋_GB2312" w:eastAsia="仿宋_GB2312"/>
          <w:sz w:val="24"/>
          <w:szCs w:val="24"/>
        </w:rPr>
        <w:t>发生突发环境事件时，由乡（镇、街道）现场指挥部指挥开展应急处置工作；若乡（镇、街道）现场指挥部应急处置能力不足时，由原平市水源应急指挥部进行指挥，乡（镇、街道）现场指挥部协调、配合原平市水源应急指挥部开展应急处置工作。</w:t>
      </w:r>
    </w:p>
    <w:p>
      <w:pPr>
        <w:pStyle w:val="5"/>
        <w:pageBreakBefore w:val="0"/>
        <w:widowControl w:val="0"/>
        <w:kinsoku/>
        <w:wordWrap/>
        <w:overflowPunct/>
        <w:topLinePunct w:val="0"/>
        <w:autoSpaceDE/>
        <w:autoSpaceDN/>
        <w:bidi w:val="0"/>
        <w:adjustRightInd/>
        <w:spacing w:line="458" w:lineRule="exact"/>
        <w:textAlignment w:val="auto"/>
        <w:rPr>
          <w:rFonts w:hint="eastAsia"/>
        </w:rPr>
      </w:pPr>
      <w:r>
        <w:rPr>
          <w:rFonts w:hint="eastAsia"/>
        </w:rPr>
        <w:t>2.2  应急组织指挥机构</w:t>
      </w:r>
    </w:p>
    <w:p>
      <w:pPr>
        <w:keepNext w:val="0"/>
        <w:keepLines w:val="0"/>
        <w:pageBreakBefore w:val="0"/>
        <w:widowControl w:val="0"/>
        <w:kinsoku/>
        <w:wordWrap/>
        <w:overflowPunct/>
        <w:topLinePunct w:val="0"/>
        <w:autoSpaceDE/>
        <w:autoSpaceDN/>
        <w:bidi w:val="0"/>
        <w:adjustRightInd/>
        <w:snapToGrid/>
        <w:spacing w:line="458" w:lineRule="exact"/>
        <w:textAlignment w:val="auto"/>
        <w:rPr>
          <w:rFonts w:hint="eastAsia" w:ascii="仿宋_GB2312" w:eastAsia="仿宋_GB2312"/>
          <w:sz w:val="24"/>
          <w:szCs w:val="24"/>
        </w:rPr>
      </w:pPr>
      <w:r>
        <w:rPr>
          <w:rFonts w:hint="eastAsia" w:ascii="仿宋_GB2312" w:eastAsia="仿宋_GB2312"/>
          <w:sz w:val="24"/>
          <w:szCs w:val="24"/>
        </w:rPr>
        <w:t>2.2.1  乡（镇、街道）现场指挥部</w:t>
      </w:r>
    </w:p>
    <w:p>
      <w:pPr>
        <w:keepNext w:val="0"/>
        <w:keepLines w:val="0"/>
        <w:pageBreakBefore w:val="0"/>
        <w:widowControl w:val="0"/>
        <w:kinsoku/>
        <w:wordWrap/>
        <w:overflowPunct/>
        <w:topLinePunct w:val="0"/>
        <w:autoSpaceDE/>
        <w:autoSpaceDN/>
        <w:bidi w:val="0"/>
        <w:adjustRightInd/>
        <w:snapToGrid/>
        <w:spacing w:line="458" w:lineRule="exact"/>
        <w:textAlignment w:val="auto"/>
        <w:rPr>
          <w:rFonts w:hint="eastAsia" w:ascii="仿宋_GB2312" w:eastAsia="仿宋_GB2312"/>
          <w:sz w:val="24"/>
          <w:szCs w:val="24"/>
        </w:rPr>
      </w:pPr>
      <w:r>
        <w:rPr>
          <w:rFonts w:hint="eastAsia" w:ascii="仿宋_GB2312" w:eastAsia="仿宋_GB2312"/>
          <w:sz w:val="24"/>
          <w:szCs w:val="24"/>
        </w:rPr>
        <w:t>总指挥：</w:t>
      </w:r>
      <w:r>
        <w:rPr>
          <w:rFonts w:hint="eastAsia" w:ascii="仿宋_GB2312" w:eastAsia="仿宋_GB2312"/>
          <w:w w:val="98"/>
          <w:sz w:val="24"/>
          <w:szCs w:val="24"/>
        </w:rPr>
        <w:t>由各乡（镇、街道）的乡（镇）长、街道办主任担任</w:t>
      </w:r>
    </w:p>
    <w:p>
      <w:pPr>
        <w:keepNext w:val="0"/>
        <w:keepLines w:val="0"/>
        <w:pageBreakBefore w:val="0"/>
        <w:widowControl w:val="0"/>
        <w:kinsoku/>
        <w:wordWrap/>
        <w:overflowPunct/>
        <w:topLinePunct w:val="0"/>
        <w:autoSpaceDE/>
        <w:autoSpaceDN/>
        <w:bidi w:val="0"/>
        <w:adjustRightInd/>
        <w:snapToGrid/>
        <w:spacing w:line="458" w:lineRule="exact"/>
        <w:textAlignment w:val="auto"/>
        <w:rPr>
          <w:rFonts w:hint="eastAsia" w:ascii="仿宋_GB2312" w:eastAsia="仿宋_GB2312"/>
          <w:sz w:val="24"/>
          <w:szCs w:val="24"/>
        </w:rPr>
      </w:pPr>
      <w:r>
        <w:rPr>
          <w:rFonts w:hint="eastAsia" w:ascii="仿宋_GB2312" w:eastAsia="仿宋_GB2312"/>
          <w:sz w:val="24"/>
          <w:szCs w:val="24"/>
        </w:rPr>
        <w:t>副指挥：由各乡（镇、街道）的副乡（镇）长、街道办副主任或其他干部担任</w:t>
      </w:r>
    </w:p>
    <w:p>
      <w:pPr>
        <w:keepNext w:val="0"/>
        <w:keepLines w:val="0"/>
        <w:pageBreakBefore w:val="0"/>
        <w:widowControl w:val="0"/>
        <w:kinsoku/>
        <w:wordWrap/>
        <w:overflowPunct/>
        <w:topLinePunct w:val="0"/>
        <w:autoSpaceDE/>
        <w:autoSpaceDN/>
        <w:bidi w:val="0"/>
        <w:adjustRightInd/>
        <w:snapToGrid/>
        <w:spacing w:line="458" w:lineRule="exact"/>
        <w:textAlignment w:val="auto"/>
        <w:rPr>
          <w:rFonts w:hint="eastAsia" w:ascii="仿宋_GB2312" w:eastAsia="仿宋_GB2312"/>
          <w:sz w:val="24"/>
          <w:szCs w:val="24"/>
        </w:rPr>
      </w:pPr>
      <w:r>
        <w:rPr>
          <w:rFonts w:hint="eastAsia" w:ascii="仿宋_GB2312" w:eastAsia="仿宋_GB2312"/>
          <w:sz w:val="24"/>
          <w:szCs w:val="24"/>
        </w:rPr>
        <w:t>成员单位：主要包括各乡（镇、街道）派出所、武装部、卫生院、电管站、水利站、生态环境执法中队等有关部门。</w:t>
      </w:r>
    </w:p>
    <w:p>
      <w:pPr>
        <w:keepNext w:val="0"/>
        <w:keepLines w:val="0"/>
        <w:pageBreakBefore w:val="0"/>
        <w:widowControl w:val="0"/>
        <w:kinsoku/>
        <w:wordWrap/>
        <w:overflowPunct/>
        <w:topLinePunct w:val="0"/>
        <w:autoSpaceDE/>
        <w:autoSpaceDN/>
        <w:bidi w:val="0"/>
        <w:adjustRightInd/>
        <w:snapToGrid/>
        <w:spacing w:line="458" w:lineRule="exact"/>
        <w:textAlignment w:val="auto"/>
        <w:rPr>
          <w:rFonts w:hint="eastAsia" w:ascii="仿宋_GB2312" w:eastAsia="仿宋_GB2312"/>
          <w:sz w:val="24"/>
          <w:szCs w:val="24"/>
        </w:rPr>
      </w:pPr>
      <w:r>
        <w:rPr>
          <w:rFonts w:hint="eastAsia" w:ascii="仿宋_GB2312" w:eastAsia="仿宋_GB2312"/>
          <w:sz w:val="24"/>
          <w:szCs w:val="24"/>
        </w:rPr>
        <w:t>乡（镇、街道）现场指挥部主要职责：</w:t>
      </w:r>
    </w:p>
    <w:p>
      <w:pPr>
        <w:keepNext w:val="0"/>
        <w:keepLines w:val="0"/>
        <w:pageBreakBefore w:val="0"/>
        <w:widowControl w:val="0"/>
        <w:kinsoku/>
        <w:wordWrap/>
        <w:overflowPunct/>
        <w:topLinePunct w:val="0"/>
        <w:autoSpaceDE/>
        <w:autoSpaceDN/>
        <w:bidi w:val="0"/>
        <w:adjustRightInd/>
        <w:snapToGrid/>
        <w:spacing w:line="458" w:lineRule="exact"/>
        <w:textAlignment w:val="auto"/>
        <w:rPr>
          <w:rFonts w:hint="eastAsia" w:ascii="仿宋_GB2312" w:eastAsia="仿宋_GB2312"/>
          <w:sz w:val="24"/>
          <w:szCs w:val="24"/>
        </w:rPr>
      </w:pPr>
      <w:r>
        <w:rPr>
          <w:rFonts w:hint="eastAsia" w:ascii="仿宋_GB2312" w:eastAsia="仿宋_GB2312"/>
          <w:sz w:val="24"/>
          <w:szCs w:val="24"/>
        </w:rPr>
        <w:t>（1）协调、配合原平市水源应急指挥部并领导乡（镇、街道）现场应急工作小组处置集中式饮用水水源地突发环境事件的应急工作；</w:t>
      </w:r>
    </w:p>
    <w:p>
      <w:pPr>
        <w:keepNext w:val="0"/>
        <w:keepLines w:val="0"/>
        <w:pageBreakBefore w:val="0"/>
        <w:widowControl w:val="0"/>
        <w:kinsoku/>
        <w:wordWrap/>
        <w:overflowPunct/>
        <w:topLinePunct w:val="0"/>
        <w:autoSpaceDE/>
        <w:autoSpaceDN/>
        <w:bidi w:val="0"/>
        <w:adjustRightInd/>
        <w:snapToGrid/>
        <w:spacing w:line="458" w:lineRule="exact"/>
        <w:textAlignment w:val="auto"/>
        <w:rPr>
          <w:rFonts w:hint="eastAsia" w:ascii="仿宋_GB2312" w:eastAsia="仿宋_GB2312"/>
          <w:sz w:val="24"/>
          <w:szCs w:val="24"/>
        </w:rPr>
      </w:pPr>
      <w:r>
        <w:rPr>
          <w:rFonts w:hint="eastAsia" w:ascii="仿宋_GB2312" w:eastAsia="仿宋_GB2312"/>
          <w:sz w:val="24"/>
          <w:szCs w:val="24"/>
        </w:rPr>
        <w:t>（2）应急调度现场情况，视情况开展现场的前期处置与救援工作，并将现场污染及处置情况上报原平市水源应急指挥部；</w:t>
      </w:r>
    </w:p>
    <w:p>
      <w:pPr>
        <w:keepNext w:val="0"/>
        <w:keepLines w:val="0"/>
        <w:pageBreakBefore w:val="0"/>
        <w:widowControl w:val="0"/>
        <w:kinsoku/>
        <w:wordWrap/>
        <w:overflowPunct/>
        <w:topLinePunct w:val="0"/>
        <w:autoSpaceDE/>
        <w:autoSpaceDN/>
        <w:bidi w:val="0"/>
        <w:adjustRightInd/>
        <w:snapToGrid/>
        <w:spacing w:line="458" w:lineRule="exact"/>
        <w:textAlignment w:val="auto"/>
        <w:rPr>
          <w:rFonts w:hint="eastAsia" w:ascii="仿宋_GB2312" w:eastAsia="仿宋_GB2312"/>
          <w:sz w:val="24"/>
          <w:szCs w:val="24"/>
        </w:rPr>
      </w:pPr>
      <w:r>
        <w:rPr>
          <w:rFonts w:hint="eastAsia" w:ascii="仿宋_GB2312" w:eastAsia="仿宋_GB2312"/>
          <w:sz w:val="24"/>
          <w:szCs w:val="24"/>
        </w:rPr>
        <w:t>（3）接受原平市水源应急指挥部的调度，并配合原平市水源应急指挥部开展现场救援工作。</w:t>
      </w:r>
    </w:p>
    <w:p>
      <w:pPr>
        <w:keepNext w:val="0"/>
        <w:keepLines w:val="0"/>
        <w:pageBreakBefore w:val="0"/>
        <w:widowControl w:val="0"/>
        <w:kinsoku/>
        <w:wordWrap/>
        <w:overflowPunct/>
        <w:topLinePunct w:val="0"/>
        <w:autoSpaceDE/>
        <w:autoSpaceDN/>
        <w:bidi w:val="0"/>
        <w:adjustRightInd/>
        <w:snapToGrid/>
        <w:spacing w:line="458" w:lineRule="exact"/>
        <w:textAlignment w:val="auto"/>
        <w:rPr>
          <w:rFonts w:hint="eastAsia" w:ascii="仿宋_GB2312" w:eastAsia="仿宋_GB2312"/>
          <w:sz w:val="24"/>
          <w:szCs w:val="24"/>
        </w:rPr>
      </w:pPr>
      <w:r>
        <w:rPr>
          <w:rFonts w:hint="eastAsia" w:ascii="仿宋_GB2312" w:eastAsia="仿宋_GB2312"/>
          <w:sz w:val="24"/>
          <w:szCs w:val="24"/>
        </w:rPr>
        <w:t>1、乡（镇、街道）现场指挥部总指挥</w:t>
      </w:r>
    </w:p>
    <w:p>
      <w:pPr>
        <w:keepNext w:val="0"/>
        <w:keepLines w:val="0"/>
        <w:pageBreakBefore w:val="0"/>
        <w:widowControl w:val="0"/>
        <w:kinsoku/>
        <w:wordWrap/>
        <w:overflowPunct/>
        <w:topLinePunct w:val="0"/>
        <w:autoSpaceDE/>
        <w:autoSpaceDN/>
        <w:bidi w:val="0"/>
        <w:adjustRightInd/>
        <w:snapToGrid/>
        <w:spacing w:line="458" w:lineRule="exact"/>
        <w:textAlignment w:val="auto"/>
        <w:rPr>
          <w:rFonts w:hint="eastAsia" w:ascii="仿宋_GB2312" w:eastAsia="仿宋_GB2312"/>
          <w:sz w:val="24"/>
          <w:szCs w:val="24"/>
        </w:rPr>
      </w:pPr>
      <w:r>
        <w:rPr>
          <w:rFonts w:hint="eastAsia" w:ascii="仿宋_GB2312" w:eastAsia="仿宋_GB2312"/>
          <w:sz w:val="24"/>
          <w:szCs w:val="24"/>
        </w:rPr>
        <w:t>日常职责：</w:t>
      </w:r>
    </w:p>
    <w:p>
      <w:pPr>
        <w:keepNext w:val="0"/>
        <w:keepLines w:val="0"/>
        <w:pageBreakBefore w:val="0"/>
        <w:widowControl w:val="0"/>
        <w:kinsoku/>
        <w:wordWrap/>
        <w:overflowPunct/>
        <w:topLinePunct w:val="0"/>
        <w:autoSpaceDE/>
        <w:autoSpaceDN/>
        <w:bidi w:val="0"/>
        <w:adjustRightInd/>
        <w:snapToGrid/>
        <w:spacing w:line="458" w:lineRule="exact"/>
        <w:textAlignment w:val="auto"/>
        <w:rPr>
          <w:rFonts w:hint="eastAsia" w:ascii="仿宋_GB2312" w:eastAsia="仿宋_GB2312"/>
          <w:sz w:val="24"/>
          <w:szCs w:val="24"/>
        </w:rPr>
      </w:pPr>
      <w:r>
        <w:rPr>
          <w:rFonts w:hint="eastAsia" w:ascii="仿宋_GB2312" w:eastAsia="仿宋_GB2312"/>
          <w:sz w:val="24"/>
          <w:szCs w:val="24"/>
        </w:rPr>
        <w:t>（1）贯彻执行国家、当地政府及有关部门关于集中式饮用水  水源地突发环境事件的各项要求；</w:t>
      </w:r>
    </w:p>
    <w:p>
      <w:pPr>
        <w:keepNext w:val="0"/>
        <w:keepLines w:val="0"/>
        <w:pageBreakBefore w:val="0"/>
        <w:widowControl w:val="0"/>
        <w:kinsoku/>
        <w:wordWrap/>
        <w:overflowPunct/>
        <w:topLinePunct w:val="0"/>
        <w:autoSpaceDE/>
        <w:autoSpaceDN/>
        <w:bidi w:val="0"/>
        <w:adjustRightInd/>
        <w:snapToGrid/>
        <w:spacing w:line="458" w:lineRule="exact"/>
        <w:textAlignment w:val="auto"/>
        <w:rPr>
          <w:rFonts w:hint="eastAsia" w:ascii="仿宋_GB2312" w:eastAsia="仿宋_GB2312"/>
          <w:sz w:val="24"/>
          <w:szCs w:val="24"/>
        </w:rPr>
      </w:pPr>
      <w:r>
        <w:rPr>
          <w:rFonts w:hint="eastAsia" w:ascii="仿宋_GB2312" w:eastAsia="仿宋_GB2312"/>
          <w:sz w:val="24"/>
          <w:szCs w:val="24"/>
        </w:rPr>
        <w:t>（2）指导加强集中式饮用水水源地突发环境事件应急组织指挥机构建设；</w:t>
      </w:r>
    </w:p>
    <w:p>
      <w:pPr>
        <w:keepNext w:val="0"/>
        <w:keepLines w:val="0"/>
        <w:pageBreakBefore w:val="0"/>
        <w:widowControl w:val="0"/>
        <w:kinsoku/>
        <w:wordWrap/>
        <w:overflowPunct/>
        <w:topLinePunct w:val="0"/>
        <w:autoSpaceDE/>
        <w:autoSpaceDN/>
        <w:bidi w:val="0"/>
        <w:adjustRightInd/>
        <w:snapToGrid/>
        <w:spacing w:line="458" w:lineRule="exact"/>
        <w:textAlignment w:val="auto"/>
        <w:rPr>
          <w:rFonts w:hint="eastAsia" w:ascii="仿宋_GB2312" w:eastAsia="仿宋_GB2312"/>
          <w:sz w:val="24"/>
          <w:szCs w:val="24"/>
        </w:rPr>
      </w:pPr>
      <w:r>
        <w:rPr>
          <w:rFonts w:hint="eastAsia" w:ascii="仿宋_GB2312" w:eastAsia="仿宋_GB2312"/>
          <w:sz w:val="24"/>
          <w:szCs w:val="24"/>
        </w:rPr>
        <w:t>（3）协调并上报上级相关管理部门，申请保障集中式饮用水水源地突发环境事件应急管理工作经费。</w:t>
      </w:r>
    </w:p>
    <w:p>
      <w:pPr>
        <w:keepNext w:val="0"/>
        <w:keepLines w:val="0"/>
        <w:pageBreakBefore w:val="0"/>
        <w:widowControl w:val="0"/>
        <w:kinsoku/>
        <w:wordWrap/>
        <w:overflowPunct/>
        <w:topLinePunct w:val="0"/>
        <w:autoSpaceDE/>
        <w:autoSpaceDN/>
        <w:bidi w:val="0"/>
        <w:adjustRightInd/>
        <w:snapToGrid/>
        <w:spacing w:line="458" w:lineRule="exact"/>
        <w:textAlignment w:val="auto"/>
        <w:rPr>
          <w:rFonts w:hint="eastAsia" w:ascii="仿宋_GB2312" w:eastAsia="仿宋_GB2312"/>
          <w:sz w:val="24"/>
          <w:szCs w:val="24"/>
        </w:rPr>
      </w:pPr>
      <w:r>
        <w:rPr>
          <w:rFonts w:hint="eastAsia" w:ascii="仿宋_GB2312" w:eastAsia="仿宋_GB2312"/>
          <w:sz w:val="24"/>
          <w:szCs w:val="24"/>
        </w:rPr>
        <w:t>应急职责：</w:t>
      </w:r>
    </w:p>
    <w:p>
      <w:pPr>
        <w:keepNext w:val="0"/>
        <w:keepLines w:val="0"/>
        <w:pageBreakBefore w:val="0"/>
        <w:widowControl w:val="0"/>
        <w:kinsoku/>
        <w:wordWrap/>
        <w:overflowPunct/>
        <w:topLinePunct w:val="0"/>
        <w:autoSpaceDE/>
        <w:autoSpaceDN/>
        <w:bidi w:val="0"/>
        <w:adjustRightInd/>
        <w:snapToGrid/>
        <w:spacing w:line="458" w:lineRule="exact"/>
        <w:textAlignment w:val="auto"/>
        <w:rPr>
          <w:rFonts w:hint="eastAsia" w:ascii="仿宋_GB2312" w:eastAsia="仿宋_GB2312"/>
          <w:sz w:val="24"/>
          <w:szCs w:val="24"/>
        </w:rPr>
      </w:pPr>
      <w:r>
        <w:rPr>
          <w:rFonts w:hint="eastAsia" w:ascii="仿宋_GB2312" w:eastAsia="仿宋_GB2312"/>
          <w:sz w:val="24"/>
          <w:szCs w:val="24"/>
        </w:rPr>
        <w:t>（1）发生集中式饮用水水源地突发环境事件时，由乡（镇、街道）现场指挥部总指挥进行指挥，批准现场处置方案，组织协调开展水源地的应急救援工作，并上报原平市水源应急指挥部；</w:t>
      </w:r>
    </w:p>
    <w:p>
      <w:pPr>
        <w:keepNext w:val="0"/>
        <w:keepLines w:val="0"/>
        <w:pageBreakBefore w:val="0"/>
        <w:widowControl w:val="0"/>
        <w:kinsoku/>
        <w:wordWrap/>
        <w:overflowPunct/>
        <w:topLinePunct w:val="0"/>
        <w:autoSpaceDE/>
        <w:autoSpaceDN/>
        <w:bidi w:val="0"/>
        <w:adjustRightInd/>
        <w:snapToGrid/>
        <w:spacing w:line="458" w:lineRule="exact"/>
        <w:textAlignment w:val="auto"/>
        <w:rPr>
          <w:rFonts w:hint="eastAsia" w:ascii="仿宋_GB2312" w:eastAsia="仿宋_GB2312"/>
          <w:sz w:val="24"/>
          <w:szCs w:val="24"/>
        </w:rPr>
      </w:pPr>
      <w:r>
        <w:rPr>
          <w:rFonts w:hint="eastAsia" w:ascii="仿宋_GB2312" w:eastAsia="仿宋_GB2312"/>
          <w:sz w:val="24"/>
          <w:szCs w:val="24"/>
        </w:rPr>
        <w:t>（2）贯彻执行市政府及有关部门的应急指令；</w:t>
      </w:r>
    </w:p>
    <w:p>
      <w:pPr>
        <w:keepNext w:val="0"/>
        <w:keepLines w:val="0"/>
        <w:pageBreakBefore w:val="0"/>
        <w:widowControl w:val="0"/>
        <w:kinsoku/>
        <w:wordWrap/>
        <w:overflowPunct/>
        <w:topLinePunct w:val="0"/>
        <w:autoSpaceDE/>
        <w:autoSpaceDN/>
        <w:bidi w:val="0"/>
        <w:adjustRightInd/>
        <w:snapToGrid/>
        <w:spacing w:line="458" w:lineRule="exact"/>
        <w:textAlignment w:val="auto"/>
        <w:rPr>
          <w:rFonts w:hint="eastAsia" w:ascii="仿宋_GB2312" w:eastAsia="仿宋_GB2312"/>
          <w:sz w:val="24"/>
          <w:szCs w:val="24"/>
        </w:rPr>
      </w:pPr>
      <w:r>
        <w:rPr>
          <w:rFonts w:hint="eastAsia" w:ascii="仿宋_GB2312" w:eastAsia="仿宋_GB2312"/>
          <w:sz w:val="24"/>
          <w:szCs w:val="24"/>
        </w:rPr>
        <w:t>（3）按照预警和应急启动及终止条件，上报原平市水源应急指挥部决定本预案的启动与终止；</w:t>
      </w:r>
    </w:p>
    <w:p>
      <w:pPr>
        <w:keepNext w:val="0"/>
        <w:keepLines w:val="0"/>
        <w:pageBreakBefore w:val="0"/>
        <w:widowControl w:val="0"/>
        <w:kinsoku/>
        <w:wordWrap/>
        <w:overflowPunct/>
        <w:topLinePunct w:val="0"/>
        <w:autoSpaceDE/>
        <w:autoSpaceDN/>
        <w:bidi w:val="0"/>
        <w:adjustRightInd/>
        <w:snapToGrid/>
        <w:spacing w:line="458" w:lineRule="exact"/>
        <w:textAlignment w:val="auto"/>
        <w:rPr>
          <w:rFonts w:hint="eastAsia" w:ascii="仿宋_GB2312" w:eastAsia="仿宋_GB2312"/>
          <w:sz w:val="24"/>
          <w:szCs w:val="24"/>
        </w:rPr>
      </w:pPr>
      <w:r>
        <w:rPr>
          <w:rFonts w:hint="eastAsia" w:ascii="仿宋_GB2312" w:eastAsia="仿宋_GB2312"/>
          <w:sz w:val="24"/>
          <w:szCs w:val="24"/>
        </w:rPr>
        <w:t>（4）配合原平市水源应急指挥部研判突发环境事件发展态势，配合原平市水源应急指挥部确定的专家人员，制定现场处置方案；</w:t>
      </w:r>
    </w:p>
    <w:p>
      <w:pPr>
        <w:keepNext w:val="0"/>
        <w:keepLines w:val="0"/>
        <w:pageBreakBefore w:val="0"/>
        <w:widowControl w:val="0"/>
        <w:kinsoku/>
        <w:wordWrap/>
        <w:overflowPunct/>
        <w:topLinePunct w:val="0"/>
        <w:autoSpaceDE/>
        <w:autoSpaceDN/>
        <w:bidi w:val="0"/>
        <w:adjustRightInd/>
        <w:snapToGrid/>
        <w:spacing w:line="458" w:lineRule="exact"/>
        <w:textAlignment w:val="auto"/>
        <w:rPr>
          <w:rFonts w:hint="eastAsia" w:ascii="仿宋_GB2312" w:eastAsia="仿宋_GB2312"/>
          <w:sz w:val="24"/>
          <w:szCs w:val="24"/>
        </w:rPr>
      </w:pPr>
      <w:r>
        <w:rPr>
          <w:rFonts w:hint="eastAsia" w:ascii="仿宋_GB2312" w:eastAsia="仿宋_GB2312"/>
          <w:sz w:val="24"/>
          <w:szCs w:val="24"/>
        </w:rPr>
        <w:t>（5）配合原平市水源应急指挥部及外聘专家等人员开展损害评估等后期工作。</w:t>
      </w:r>
    </w:p>
    <w:p>
      <w:pPr>
        <w:keepNext w:val="0"/>
        <w:keepLines w:val="0"/>
        <w:pageBreakBefore w:val="0"/>
        <w:widowControl w:val="0"/>
        <w:kinsoku/>
        <w:wordWrap/>
        <w:overflowPunct/>
        <w:topLinePunct w:val="0"/>
        <w:autoSpaceDE/>
        <w:autoSpaceDN/>
        <w:bidi w:val="0"/>
        <w:adjustRightInd/>
        <w:snapToGrid/>
        <w:spacing w:line="458" w:lineRule="exact"/>
        <w:textAlignment w:val="auto"/>
        <w:rPr>
          <w:rFonts w:hint="eastAsia" w:ascii="仿宋_GB2312" w:eastAsia="仿宋_GB2312"/>
          <w:spacing w:val="-6"/>
          <w:sz w:val="24"/>
          <w:szCs w:val="24"/>
        </w:rPr>
      </w:pPr>
      <w:r>
        <w:rPr>
          <w:rFonts w:hint="eastAsia" w:ascii="仿宋_GB2312" w:eastAsia="仿宋_GB2312"/>
          <w:sz w:val="24"/>
          <w:szCs w:val="24"/>
        </w:rPr>
        <w:t>2、</w:t>
      </w:r>
      <w:r>
        <w:rPr>
          <w:rFonts w:hint="eastAsia" w:ascii="仿宋_GB2312" w:eastAsia="仿宋_GB2312"/>
          <w:spacing w:val="-6"/>
          <w:sz w:val="24"/>
          <w:szCs w:val="24"/>
        </w:rPr>
        <w:t>乡（镇、街道）现场指挥部副总指挥</w:t>
      </w:r>
    </w:p>
    <w:p>
      <w:pPr>
        <w:keepNext w:val="0"/>
        <w:keepLines w:val="0"/>
        <w:pageBreakBefore w:val="0"/>
        <w:widowControl w:val="0"/>
        <w:kinsoku/>
        <w:wordWrap/>
        <w:overflowPunct/>
        <w:topLinePunct w:val="0"/>
        <w:autoSpaceDE/>
        <w:autoSpaceDN/>
        <w:bidi w:val="0"/>
        <w:adjustRightInd/>
        <w:snapToGrid/>
        <w:spacing w:line="458" w:lineRule="exact"/>
        <w:textAlignment w:val="auto"/>
        <w:rPr>
          <w:rFonts w:hint="eastAsia" w:ascii="仿宋_GB2312" w:eastAsia="仿宋_GB2312"/>
          <w:sz w:val="24"/>
          <w:szCs w:val="24"/>
        </w:rPr>
      </w:pPr>
      <w:r>
        <w:rPr>
          <w:rFonts w:hint="eastAsia" w:ascii="仿宋_GB2312" w:eastAsia="仿宋_GB2312"/>
          <w:sz w:val="24"/>
          <w:szCs w:val="24"/>
        </w:rPr>
        <w:t>日常职责：</w:t>
      </w:r>
    </w:p>
    <w:p>
      <w:pPr>
        <w:keepNext w:val="0"/>
        <w:keepLines w:val="0"/>
        <w:pageBreakBefore w:val="0"/>
        <w:widowControl w:val="0"/>
        <w:kinsoku/>
        <w:wordWrap/>
        <w:overflowPunct/>
        <w:topLinePunct w:val="0"/>
        <w:autoSpaceDE/>
        <w:autoSpaceDN/>
        <w:bidi w:val="0"/>
        <w:adjustRightInd/>
        <w:snapToGrid/>
        <w:spacing w:line="458" w:lineRule="exact"/>
        <w:textAlignment w:val="auto"/>
        <w:rPr>
          <w:rFonts w:hint="eastAsia" w:ascii="仿宋_GB2312" w:eastAsia="仿宋_GB2312"/>
          <w:sz w:val="24"/>
          <w:szCs w:val="24"/>
        </w:rPr>
      </w:pPr>
      <w:r>
        <w:rPr>
          <w:rFonts w:hint="eastAsia" w:ascii="仿宋_GB2312" w:eastAsia="仿宋_GB2312"/>
          <w:sz w:val="24"/>
          <w:szCs w:val="24"/>
        </w:rPr>
        <w:t>（1）协助乡（镇、街道）现场指挥部总指挥开展有关工作；</w:t>
      </w:r>
    </w:p>
    <w:p>
      <w:pPr>
        <w:keepNext w:val="0"/>
        <w:keepLines w:val="0"/>
        <w:pageBreakBefore w:val="0"/>
        <w:widowControl w:val="0"/>
        <w:kinsoku/>
        <w:wordWrap/>
        <w:overflowPunct/>
        <w:topLinePunct w:val="0"/>
        <w:autoSpaceDE/>
        <w:autoSpaceDN/>
        <w:bidi w:val="0"/>
        <w:adjustRightInd/>
        <w:snapToGrid/>
        <w:spacing w:line="458" w:lineRule="exact"/>
        <w:textAlignment w:val="auto"/>
        <w:rPr>
          <w:rFonts w:hint="eastAsia" w:ascii="仿宋_GB2312" w:eastAsia="仿宋_GB2312"/>
          <w:sz w:val="24"/>
          <w:szCs w:val="24"/>
        </w:rPr>
      </w:pPr>
      <w:r>
        <w:rPr>
          <w:rFonts w:hint="eastAsia" w:ascii="仿宋_GB2312" w:eastAsia="仿宋_GB2312"/>
          <w:sz w:val="24"/>
          <w:szCs w:val="24"/>
        </w:rPr>
        <w:t>（2）根据上级部门的要求，参加并指导集中式饮用水水源地突发环境事件应急预案培训演练工作，协调开展乡（镇、街道）现场应急工作小组的管理和救援能力评估工作；</w:t>
      </w:r>
    </w:p>
    <w:p>
      <w:pPr>
        <w:keepNext w:val="0"/>
        <w:keepLines w:val="0"/>
        <w:pageBreakBefore w:val="0"/>
        <w:widowControl w:val="0"/>
        <w:kinsoku/>
        <w:wordWrap/>
        <w:overflowPunct/>
        <w:topLinePunct w:val="0"/>
        <w:autoSpaceDE/>
        <w:autoSpaceDN/>
        <w:bidi w:val="0"/>
        <w:adjustRightInd/>
        <w:snapToGrid/>
        <w:spacing w:line="458" w:lineRule="exact"/>
        <w:textAlignment w:val="auto"/>
        <w:rPr>
          <w:rFonts w:hint="eastAsia" w:ascii="仿宋_GB2312" w:eastAsia="仿宋_GB2312"/>
          <w:sz w:val="24"/>
          <w:szCs w:val="24"/>
        </w:rPr>
      </w:pPr>
      <w:r>
        <w:rPr>
          <w:rFonts w:hint="eastAsia" w:ascii="仿宋_GB2312" w:eastAsia="仿宋_GB2312"/>
          <w:sz w:val="24"/>
          <w:szCs w:val="24"/>
        </w:rPr>
        <w:t>（3）依据上级管理部门要求，指导开展集中式饮用水水源地突发环境事件风险防范和应急准备工作。</w:t>
      </w:r>
    </w:p>
    <w:p>
      <w:pPr>
        <w:keepNext w:val="0"/>
        <w:keepLines w:val="0"/>
        <w:pageBreakBefore w:val="0"/>
        <w:widowControl w:val="0"/>
        <w:kinsoku/>
        <w:wordWrap/>
        <w:overflowPunct/>
        <w:topLinePunct w:val="0"/>
        <w:autoSpaceDE/>
        <w:autoSpaceDN/>
        <w:bidi w:val="0"/>
        <w:adjustRightInd/>
        <w:snapToGrid/>
        <w:spacing w:line="458" w:lineRule="exact"/>
        <w:textAlignment w:val="auto"/>
        <w:rPr>
          <w:rFonts w:hint="eastAsia" w:ascii="仿宋_GB2312" w:eastAsia="仿宋_GB2312"/>
          <w:sz w:val="24"/>
          <w:szCs w:val="24"/>
        </w:rPr>
      </w:pPr>
      <w:r>
        <w:rPr>
          <w:rFonts w:hint="eastAsia" w:ascii="仿宋_GB2312" w:eastAsia="仿宋_GB2312"/>
          <w:sz w:val="24"/>
          <w:szCs w:val="24"/>
        </w:rPr>
        <w:t>应急职责：</w:t>
      </w:r>
    </w:p>
    <w:p>
      <w:pPr>
        <w:keepNext w:val="0"/>
        <w:keepLines w:val="0"/>
        <w:pageBreakBefore w:val="0"/>
        <w:widowControl w:val="0"/>
        <w:kinsoku/>
        <w:wordWrap/>
        <w:overflowPunct/>
        <w:topLinePunct w:val="0"/>
        <w:autoSpaceDE/>
        <w:autoSpaceDN/>
        <w:bidi w:val="0"/>
        <w:adjustRightInd/>
        <w:snapToGrid/>
        <w:spacing w:line="458" w:lineRule="exact"/>
        <w:textAlignment w:val="auto"/>
        <w:rPr>
          <w:rFonts w:hint="eastAsia" w:ascii="仿宋_GB2312" w:eastAsia="仿宋_GB2312"/>
          <w:sz w:val="24"/>
          <w:szCs w:val="24"/>
        </w:rPr>
      </w:pPr>
      <w:r>
        <w:rPr>
          <w:rFonts w:hint="eastAsia" w:ascii="仿宋_GB2312" w:eastAsia="仿宋_GB2312"/>
          <w:sz w:val="24"/>
          <w:szCs w:val="24"/>
        </w:rPr>
        <w:t>（1）协助乡（镇、街道）现场指挥部总指挥组织开展现场应急处置工作，若乡（镇、街道）现场指挥部总指挥不在场，则由乡（镇、街道）现场指挥部副总指挥赶赴现场进行指挥；</w:t>
      </w:r>
    </w:p>
    <w:p>
      <w:pPr>
        <w:keepNext w:val="0"/>
        <w:keepLines w:val="0"/>
        <w:pageBreakBefore w:val="0"/>
        <w:widowControl w:val="0"/>
        <w:kinsoku/>
        <w:wordWrap/>
        <w:overflowPunct/>
        <w:topLinePunct w:val="0"/>
        <w:autoSpaceDE/>
        <w:autoSpaceDN/>
        <w:bidi w:val="0"/>
        <w:adjustRightInd/>
        <w:snapToGrid/>
        <w:spacing w:line="458" w:lineRule="exact"/>
        <w:textAlignment w:val="auto"/>
        <w:rPr>
          <w:rFonts w:hint="eastAsia" w:ascii="仿宋_GB2312" w:eastAsia="仿宋_GB2312"/>
          <w:sz w:val="24"/>
          <w:szCs w:val="24"/>
        </w:rPr>
      </w:pPr>
      <w:r>
        <w:rPr>
          <w:rFonts w:hint="eastAsia" w:ascii="仿宋_GB2312" w:eastAsia="仿宋_GB2312"/>
          <w:sz w:val="24"/>
          <w:szCs w:val="24"/>
        </w:rPr>
        <w:t>（2）根据乡（镇、街道）现场指挥部总指挥安排，负责现场的具体指挥和协调；</w:t>
      </w:r>
    </w:p>
    <w:p>
      <w:pPr>
        <w:keepNext w:val="0"/>
        <w:keepLines w:val="0"/>
        <w:pageBreakBefore w:val="0"/>
        <w:widowControl w:val="0"/>
        <w:kinsoku/>
        <w:wordWrap/>
        <w:overflowPunct/>
        <w:topLinePunct w:val="0"/>
        <w:autoSpaceDE/>
        <w:autoSpaceDN/>
        <w:bidi w:val="0"/>
        <w:adjustRightInd/>
        <w:snapToGrid/>
        <w:spacing w:line="458" w:lineRule="exact"/>
        <w:textAlignment w:val="auto"/>
        <w:rPr>
          <w:rFonts w:hint="eastAsia" w:ascii="仿宋_GB2312" w:eastAsia="仿宋_GB2312"/>
          <w:sz w:val="24"/>
          <w:szCs w:val="24"/>
        </w:rPr>
      </w:pPr>
      <w:r>
        <w:rPr>
          <w:rFonts w:hint="eastAsia" w:ascii="仿宋_GB2312" w:eastAsia="仿宋_GB2312"/>
          <w:sz w:val="24"/>
          <w:szCs w:val="24"/>
        </w:rPr>
        <w:t>（3）负责向场外人员通报应急信息；</w:t>
      </w:r>
    </w:p>
    <w:p>
      <w:pPr>
        <w:keepNext w:val="0"/>
        <w:keepLines w:val="0"/>
        <w:pageBreakBefore w:val="0"/>
        <w:widowControl w:val="0"/>
        <w:kinsoku/>
        <w:wordWrap/>
        <w:overflowPunct/>
        <w:topLinePunct w:val="0"/>
        <w:autoSpaceDE/>
        <w:autoSpaceDN/>
        <w:bidi w:val="0"/>
        <w:adjustRightInd/>
        <w:snapToGrid/>
        <w:spacing w:line="458" w:lineRule="exact"/>
        <w:textAlignment w:val="auto"/>
        <w:rPr>
          <w:rFonts w:hint="eastAsia" w:ascii="仿宋_GB2312" w:eastAsia="仿宋_GB2312"/>
          <w:sz w:val="24"/>
          <w:szCs w:val="24"/>
        </w:rPr>
      </w:pPr>
      <w:r>
        <w:rPr>
          <w:rFonts w:hint="eastAsia" w:ascii="仿宋_GB2312" w:eastAsia="仿宋_GB2312"/>
          <w:sz w:val="24"/>
          <w:szCs w:val="24"/>
        </w:rPr>
        <w:t>（4）负责提出有关应急处置建议；</w:t>
      </w:r>
    </w:p>
    <w:p>
      <w:pPr>
        <w:keepNext w:val="0"/>
        <w:keepLines w:val="0"/>
        <w:pageBreakBefore w:val="0"/>
        <w:widowControl w:val="0"/>
        <w:kinsoku/>
        <w:wordWrap/>
        <w:overflowPunct/>
        <w:topLinePunct w:val="0"/>
        <w:autoSpaceDE/>
        <w:autoSpaceDN/>
        <w:bidi w:val="0"/>
        <w:adjustRightInd/>
        <w:snapToGrid/>
        <w:spacing w:line="458" w:lineRule="exact"/>
        <w:textAlignment w:val="auto"/>
        <w:rPr>
          <w:rFonts w:hint="eastAsia" w:ascii="仿宋_GB2312" w:eastAsia="仿宋_GB2312"/>
          <w:spacing w:val="-6"/>
          <w:sz w:val="24"/>
          <w:szCs w:val="24"/>
        </w:rPr>
      </w:pPr>
      <w:r>
        <w:rPr>
          <w:rFonts w:hint="eastAsia" w:ascii="仿宋_GB2312" w:eastAsia="仿宋_GB2312"/>
          <w:sz w:val="24"/>
          <w:szCs w:val="24"/>
        </w:rPr>
        <w:t>（5）</w:t>
      </w:r>
      <w:r>
        <w:rPr>
          <w:rFonts w:hint="eastAsia" w:ascii="仿宋_GB2312" w:eastAsia="仿宋_GB2312"/>
          <w:spacing w:val="-6"/>
          <w:sz w:val="24"/>
          <w:szCs w:val="24"/>
        </w:rPr>
        <w:t>负责协调现场与场外应急处置工作；</w:t>
      </w:r>
    </w:p>
    <w:p>
      <w:pPr>
        <w:keepNext w:val="0"/>
        <w:keepLines w:val="0"/>
        <w:pageBreakBefore w:val="0"/>
        <w:widowControl w:val="0"/>
        <w:kinsoku/>
        <w:wordWrap/>
        <w:overflowPunct/>
        <w:topLinePunct w:val="0"/>
        <w:autoSpaceDE/>
        <w:autoSpaceDN/>
        <w:bidi w:val="0"/>
        <w:adjustRightInd/>
        <w:snapToGrid/>
        <w:spacing w:line="458" w:lineRule="exact"/>
        <w:textAlignment w:val="auto"/>
        <w:rPr>
          <w:rFonts w:hint="eastAsia" w:ascii="仿宋_GB2312" w:eastAsia="仿宋_GB2312"/>
          <w:sz w:val="24"/>
          <w:szCs w:val="24"/>
        </w:rPr>
      </w:pPr>
      <w:r>
        <w:rPr>
          <w:rFonts w:hint="eastAsia" w:ascii="仿宋_GB2312" w:eastAsia="仿宋_GB2312"/>
          <w:sz w:val="24"/>
          <w:szCs w:val="24"/>
        </w:rPr>
        <w:t>（6）停止取水后，配合有关部门，协调保障居民用水；</w:t>
      </w:r>
    </w:p>
    <w:p>
      <w:pPr>
        <w:keepNext w:val="0"/>
        <w:keepLines w:val="0"/>
        <w:pageBreakBefore w:val="0"/>
        <w:widowControl w:val="0"/>
        <w:kinsoku/>
        <w:wordWrap/>
        <w:overflowPunct/>
        <w:topLinePunct w:val="0"/>
        <w:autoSpaceDE/>
        <w:autoSpaceDN/>
        <w:bidi w:val="0"/>
        <w:adjustRightInd/>
        <w:snapToGrid/>
        <w:spacing w:line="458" w:lineRule="exact"/>
        <w:textAlignment w:val="auto"/>
        <w:rPr>
          <w:rFonts w:hint="eastAsia" w:ascii="仿宋_GB2312" w:eastAsia="仿宋_GB2312"/>
          <w:sz w:val="24"/>
          <w:szCs w:val="24"/>
        </w:rPr>
      </w:pPr>
      <w:r>
        <w:rPr>
          <w:rFonts w:hint="eastAsia" w:ascii="仿宋_GB2312" w:eastAsia="仿宋_GB2312"/>
          <w:sz w:val="24"/>
          <w:szCs w:val="24"/>
        </w:rPr>
        <w:t>（7）及时处置现场出现的紧急情况。</w:t>
      </w:r>
    </w:p>
    <w:p>
      <w:pPr>
        <w:keepNext w:val="0"/>
        <w:keepLines w:val="0"/>
        <w:pageBreakBefore w:val="0"/>
        <w:widowControl w:val="0"/>
        <w:kinsoku/>
        <w:wordWrap/>
        <w:overflowPunct/>
        <w:topLinePunct w:val="0"/>
        <w:autoSpaceDE/>
        <w:autoSpaceDN/>
        <w:bidi w:val="0"/>
        <w:adjustRightInd/>
        <w:snapToGrid/>
        <w:spacing w:line="458" w:lineRule="exact"/>
        <w:textAlignment w:val="auto"/>
        <w:rPr>
          <w:rFonts w:hint="eastAsia" w:ascii="仿宋_GB2312" w:eastAsia="仿宋_GB2312"/>
          <w:sz w:val="24"/>
          <w:szCs w:val="24"/>
        </w:rPr>
      </w:pPr>
      <w:r>
        <w:rPr>
          <w:rFonts w:hint="eastAsia" w:ascii="仿宋_GB2312" w:eastAsia="仿宋_GB2312"/>
          <w:sz w:val="24"/>
          <w:szCs w:val="24"/>
        </w:rPr>
        <w:t>3、乡（镇、街道）现场指挥部综合办公室</w:t>
      </w:r>
    </w:p>
    <w:p>
      <w:pPr>
        <w:keepNext w:val="0"/>
        <w:keepLines w:val="0"/>
        <w:pageBreakBefore w:val="0"/>
        <w:widowControl w:val="0"/>
        <w:kinsoku/>
        <w:wordWrap/>
        <w:overflowPunct/>
        <w:topLinePunct w:val="0"/>
        <w:autoSpaceDE/>
        <w:autoSpaceDN/>
        <w:bidi w:val="0"/>
        <w:adjustRightInd/>
        <w:snapToGrid/>
        <w:spacing w:line="458" w:lineRule="exact"/>
        <w:textAlignment w:val="auto"/>
        <w:rPr>
          <w:rFonts w:hint="eastAsia" w:ascii="仿宋_GB2312" w:eastAsia="仿宋_GB2312"/>
          <w:sz w:val="24"/>
          <w:szCs w:val="24"/>
        </w:rPr>
      </w:pPr>
      <w:r>
        <w:rPr>
          <w:rFonts w:hint="eastAsia" w:ascii="仿宋_GB2312" w:eastAsia="仿宋_GB2312"/>
          <w:sz w:val="24"/>
          <w:szCs w:val="24"/>
        </w:rPr>
        <w:t>日常职责：</w:t>
      </w:r>
    </w:p>
    <w:p>
      <w:pPr>
        <w:keepNext w:val="0"/>
        <w:keepLines w:val="0"/>
        <w:pageBreakBefore w:val="0"/>
        <w:widowControl w:val="0"/>
        <w:kinsoku/>
        <w:wordWrap/>
        <w:overflowPunct/>
        <w:topLinePunct w:val="0"/>
        <w:autoSpaceDE/>
        <w:autoSpaceDN/>
        <w:bidi w:val="0"/>
        <w:adjustRightInd/>
        <w:snapToGrid/>
        <w:spacing w:line="458" w:lineRule="exact"/>
        <w:textAlignment w:val="auto"/>
        <w:rPr>
          <w:rFonts w:hint="eastAsia" w:ascii="仿宋_GB2312" w:eastAsia="仿宋_GB2312"/>
          <w:sz w:val="24"/>
          <w:szCs w:val="24"/>
        </w:rPr>
      </w:pPr>
      <w:r>
        <w:rPr>
          <w:rFonts w:hint="eastAsia" w:ascii="仿宋_GB2312" w:eastAsia="仿宋_GB2312"/>
          <w:sz w:val="24"/>
          <w:szCs w:val="24"/>
        </w:rPr>
        <w:t>（1）负责集中式饮用水水源地应急预案的日常管理，根据上级管理部门要求，参加预案的培训和演练、开展乡（镇、街道）</w:t>
      </w:r>
      <w:r>
        <w:rPr>
          <w:rFonts w:hint="eastAsia" w:ascii="仿宋_GB2312" w:eastAsia="仿宋_GB2312"/>
          <w:spacing w:val="-6"/>
          <w:sz w:val="24"/>
          <w:szCs w:val="24"/>
        </w:rPr>
        <w:t>现场应急工作小组的建设和能力评估等工作；</w:t>
      </w:r>
    </w:p>
    <w:p>
      <w:pPr>
        <w:keepNext w:val="0"/>
        <w:keepLines w:val="0"/>
        <w:pageBreakBefore w:val="0"/>
        <w:widowControl w:val="0"/>
        <w:kinsoku/>
        <w:wordWrap/>
        <w:overflowPunct/>
        <w:topLinePunct w:val="0"/>
        <w:autoSpaceDE/>
        <w:autoSpaceDN/>
        <w:bidi w:val="0"/>
        <w:adjustRightInd/>
        <w:snapToGrid/>
        <w:spacing w:line="458" w:lineRule="exact"/>
        <w:textAlignment w:val="auto"/>
        <w:rPr>
          <w:rFonts w:hint="eastAsia" w:ascii="仿宋_GB2312" w:eastAsia="仿宋_GB2312"/>
          <w:sz w:val="24"/>
          <w:szCs w:val="24"/>
        </w:rPr>
      </w:pPr>
      <w:r>
        <w:rPr>
          <w:rFonts w:hint="eastAsia" w:ascii="仿宋_GB2312" w:eastAsia="仿宋_GB2312"/>
          <w:sz w:val="24"/>
          <w:szCs w:val="24"/>
        </w:rPr>
        <w:t>（2）根据预案要求，组织开展集中式饮用水水源地突发环境事件风险防范和应急准备工作。</w:t>
      </w:r>
    </w:p>
    <w:p>
      <w:pPr>
        <w:keepNext w:val="0"/>
        <w:keepLines w:val="0"/>
        <w:pageBreakBefore w:val="0"/>
        <w:widowControl w:val="0"/>
        <w:kinsoku/>
        <w:wordWrap/>
        <w:overflowPunct/>
        <w:topLinePunct w:val="0"/>
        <w:autoSpaceDE/>
        <w:autoSpaceDN/>
        <w:bidi w:val="0"/>
        <w:adjustRightInd/>
        <w:snapToGrid/>
        <w:spacing w:line="458" w:lineRule="exact"/>
        <w:textAlignment w:val="auto"/>
        <w:rPr>
          <w:rFonts w:hint="eastAsia" w:ascii="仿宋_GB2312" w:eastAsia="仿宋_GB2312"/>
          <w:sz w:val="24"/>
          <w:szCs w:val="24"/>
        </w:rPr>
      </w:pPr>
      <w:r>
        <w:rPr>
          <w:rFonts w:hint="eastAsia" w:ascii="仿宋_GB2312" w:eastAsia="仿宋_GB2312"/>
          <w:sz w:val="24"/>
          <w:szCs w:val="24"/>
        </w:rPr>
        <w:t>应急职责：</w:t>
      </w:r>
    </w:p>
    <w:p>
      <w:pPr>
        <w:keepNext w:val="0"/>
        <w:keepLines w:val="0"/>
        <w:pageBreakBefore w:val="0"/>
        <w:widowControl w:val="0"/>
        <w:kinsoku/>
        <w:wordWrap/>
        <w:overflowPunct/>
        <w:topLinePunct w:val="0"/>
        <w:autoSpaceDE/>
        <w:autoSpaceDN/>
        <w:bidi w:val="0"/>
        <w:adjustRightInd/>
        <w:snapToGrid/>
        <w:spacing w:line="458" w:lineRule="exact"/>
        <w:textAlignment w:val="auto"/>
        <w:rPr>
          <w:rFonts w:hint="eastAsia" w:ascii="仿宋_GB2312" w:eastAsia="仿宋_GB2312"/>
          <w:sz w:val="24"/>
          <w:szCs w:val="24"/>
        </w:rPr>
      </w:pPr>
      <w:r>
        <w:rPr>
          <w:rFonts w:hint="eastAsia" w:ascii="仿宋_GB2312" w:eastAsia="仿宋_GB2312"/>
          <w:sz w:val="24"/>
          <w:szCs w:val="24"/>
        </w:rPr>
        <w:t>（1）贯彻执行乡（镇、街道）现场指挥部总指挥、副总指挥的各项指令和要求；</w:t>
      </w:r>
    </w:p>
    <w:p>
      <w:pPr>
        <w:keepNext w:val="0"/>
        <w:keepLines w:val="0"/>
        <w:pageBreakBefore w:val="0"/>
        <w:widowControl w:val="0"/>
        <w:kinsoku/>
        <w:wordWrap/>
        <w:overflowPunct/>
        <w:topLinePunct w:val="0"/>
        <w:autoSpaceDE/>
        <w:autoSpaceDN/>
        <w:bidi w:val="0"/>
        <w:adjustRightInd/>
        <w:snapToGrid/>
        <w:spacing w:line="458" w:lineRule="exact"/>
        <w:textAlignment w:val="auto"/>
        <w:rPr>
          <w:rFonts w:hint="eastAsia" w:ascii="仿宋_GB2312" w:eastAsia="仿宋_GB2312"/>
          <w:sz w:val="24"/>
          <w:szCs w:val="24"/>
        </w:rPr>
      </w:pPr>
      <w:r>
        <w:rPr>
          <w:rFonts w:hint="eastAsia" w:ascii="仿宋_GB2312" w:eastAsia="仿宋_GB2312"/>
          <w:sz w:val="24"/>
          <w:szCs w:val="24"/>
        </w:rPr>
        <w:t>（2）负责信息汇总上报，并与有关的外部及原平市水源应急指挥部等上级应急部门、组织和机构进行联络；</w:t>
      </w:r>
    </w:p>
    <w:p>
      <w:pPr>
        <w:keepNext w:val="0"/>
        <w:keepLines w:val="0"/>
        <w:pageBreakBefore w:val="0"/>
        <w:widowControl w:val="0"/>
        <w:kinsoku/>
        <w:wordWrap/>
        <w:overflowPunct/>
        <w:topLinePunct w:val="0"/>
        <w:autoSpaceDE/>
        <w:autoSpaceDN/>
        <w:bidi w:val="0"/>
        <w:adjustRightInd/>
        <w:snapToGrid/>
        <w:spacing w:line="458" w:lineRule="exact"/>
        <w:textAlignment w:val="auto"/>
        <w:rPr>
          <w:rFonts w:hint="eastAsia" w:ascii="仿宋_GB2312" w:eastAsia="仿宋_GB2312"/>
          <w:sz w:val="24"/>
          <w:szCs w:val="24"/>
        </w:rPr>
      </w:pPr>
      <w:r>
        <w:rPr>
          <w:rFonts w:hint="eastAsia" w:ascii="仿宋_GB2312" w:eastAsia="仿宋_GB2312"/>
          <w:sz w:val="24"/>
          <w:szCs w:val="24"/>
        </w:rPr>
        <w:t>（3）负责协调调动乡（镇、街道）现场应急工作小组，负责各组人员A/B角调配、调配原平市现有的应急资源并联络外部以及衔接原平市水源应急指挥部有关部门；</w:t>
      </w:r>
    </w:p>
    <w:p>
      <w:pPr>
        <w:keepNext w:val="0"/>
        <w:keepLines w:val="0"/>
        <w:pageBreakBefore w:val="0"/>
        <w:widowControl w:val="0"/>
        <w:kinsoku/>
        <w:wordWrap/>
        <w:overflowPunct/>
        <w:topLinePunct w:val="0"/>
        <w:autoSpaceDE/>
        <w:autoSpaceDN/>
        <w:bidi w:val="0"/>
        <w:adjustRightInd/>
        <w:snapToGrid/>
        <w:spacing w:line="458" w:lineRule="exact"/>
        <w:textAlignment w:val="auto"/>
        <w:rPr>
          <w:rFonts w:hint="eastAsia" w:ascii="仿宋_GB2312" w:eastAsia="仿宋_GB2312"/>
          <w:sz w:val="24"/>
          <w:szCs w:val="24"/>
        </w:rPr>
      </w:pPr>
      <w:r>
        <w:rPr>
          <w:rFonts w:hint="eastAsia" w:ascii="仿宋_GB2312" w:eastAsia="仿宋_GB2312"/>
          <w:sz w:val="24"/>
          <w:szCs w:val="24"/>
        </w:rPr>
        <w:t>（4）收集整理有关事件数据。</w:t>
      </w:r>
    </w:p>
    <w:p>
      <w:pPr>
        <w:keepNext w:val="0"/>
        <w:keepLines w:val="0"/>
        <w:pageBreakBefore w:val="0"/>
        <w:widowControl w:val="0"/>
        <w:kinsoku/>
        <w:wordWrap/>
        <w:overflowPunct/>
        <w:topLinePunct w:val="0"/>
        <w:autoSpaceDE/>
        <w:autoSpaceDN/>
        <w:bidi w:val="0"/>
        <w:adjustRightInd/>
        <w:snapToGrid/>
        <w:spacing w:line="458" w:lineRule="exact"/>
        <w:textAlignment w:val="auto"/>
        <w:rPr>
          <w:rFonts w:hint="eastAsia" w:ascii="仿宋_GB2312" w:eastAsia="仿宋_GB2312"/>
          <w:sz w:val="24"/>
          <w:szCs w:val="24"/>
        </w:rPr>
      </w:pPr>
      <w:r>
        <w:rPr>
          <w:rFonts w:hint="eastAsia" w:ascii="仿宋_GB2312" w:eastAsia="仿宋_GB2312"/>
          <w:sz w:val="24"/>
          <w:szCs w:val="24"/>
        </w:rPr>
        <w:t>2.2.2  乡（镇、街道）现场应急工作小组</w:t>
      </w:r>
    </w:p>
    <w:p>
      <w:pPr>
        <w:keepNext w:val="0"/>
        <w:keepLines w:val="0"/>
        <w:pageBreakBefore w:val="0"/>
        <w:widowControl w:val="0"/>
        <w:kinsoku/>
        <w:wordWrap/>
        <w:overflowPunct/>
        <w:topLinePunct w:val="0"/>
        <w:autoSpaceDE/>
        <w:autoSpaceDN/>
        <w:bidi w:val="0"/>
        <w:adjustRightInd/>
        <w:snapToGrid/>
        <w:spacing w:line="458" w:lineRule="exact"/>
        <w:textAlignment w:val="auto"/>
        <w:rPr>
          <w:rFonts w:hint="eastAsia" w:ascii="仿宋_GB2312" w:eastAsia="仿宋_GB2312"/>
          <w:sz w:val="24"/>
          <w:szCs w:val="24"/>
        </w:rPr>
      </w:pPr>
      <w:r>
        <w:rPr>
          <w:rFonts w:hint="eastAsia" w:ascii="仿宋_GB2312" w:eastAsia="仿宋_GB2312"/>
          <w:sz w:val="24"/>
          <w:szCs w:val="24"/>
        </w:rPr>
        <w:t>乡（镇、街道）现场应急工作小组由应急处置小组、应急供水保障小组、应急物资保障小组、机动应急人员小组组成。</w:t>
      </w:r>
    </w:p>
    <w:p>
      <w:pPr>
        <w:keepNext w:val="0"/>
        <w:keepLines w:val="0"/>
        <w:pageBreakBefore w:val="0"/>
        <w:widowControl w:val="0"/>
        <w:kinsoku/>
        <w:wordWrap/>
        <w:overflowPunct/>
        <w:topLinePunct w:val="0"/>
        <w:autoSpaceDE/>
        <w:autoSpaceDN/>
        <w:bidi w:val="0"/>
        <w:adjustRightInd/>
        <w:snapToGrid/>
        <w:spacing w:line="458" w:lineRule="exact"/>
        <w:textAlignment w:val="auto"/>
        <w:rPr>
          <w:rFonts w:hint="eastAsia" w:ascii="仿宋_GB2312" w:eastAsia="仿宋_GB2312"/>
          <w:sz w:val="24"/>
          <w:szCs w:val="24"/>
        </w:rPr>
      </w:pPr>
      <w:r>
        <w:rPr>
          <w:rFonts w:hint="eastAsia" w:ascii="仿宋_GB2312" w:eastAsia="仿宋_GB2312"/>
          <w:sz w:val="24"/>
          <w:szCs w:val="24"/>
        </w:rPr>
        <w:t>乡（镇、街道）现场应急工作小组各小组职责如下：</w:t>
      </w:r>
    </w:p>
    <w:p>
      <w:pPr>
        <w:keepNext w:val="0"/>
        <w:keepLines w:val="0"/>
        <w:pageBreakBefore w:val="0"/>
        <w:widowControl w:val="0"/>
        <w:kinsoku/>
        <w:wordWrap/>
        <w:overflowPunct/>
        <w:topLinePunct w:val="0"/>
        <w:autoSpaceDE/>
        <w:autoSpaceDN/>
        <w:bidi w:val="0"/>
        <w:adjustRightInd/>
        <w:snapToGrid/>
        <w:spacing w:line="458" w:lineRule="exact"/>
        <w:textAlignment w:val="auto"/>
        <w:rPr>
          <w:rFonts w:hint="eastAsia" w:ascii="仿宋_GB2312" w:eastAsia="仿宋_GB2312"/>
          <w:sz w:val="24"/>
          <w:szCs w:val="24"/>
        </w:rPr>
      </w:pPr>
      <w:r>
        <w:rPr>
          <w:rFonts w:hint="eastAsia" w:ascii="仿宋_GB2312" w:eastAsia="仿宋_GB2312"/>
          <w:sz w:val="24"/>
          <w:szCs w:val="24"/>
        </w:rPr>
        <w:t>1、应急处置小组</w:t>
      </w:r>
    </w:p>
    <w:p>
      <w:pPr>
        <w:keepNext w:val="0"/>
        <w:keepLines w:val="0"/>
        <w:pageBreakBefore w:val="0"/>
        <w:widowControl w:val="0"/>
        <w:kinsoku/>
        <w:wordWrap/>
        <w:overflowPunct/>
        <w:topLinePunct w:val="0"/>
        <w:autoSpaceDE/>
        <w:autoSpaceDN/>
        <w:bidi w:val="0"/>
        <w:adjustRightInd/>
        <w:snapToGrid/>
        <w:spacing w:line="458" w:lineRule="exact"/>
        <w:textAlignment w:val="auto"/>
        <w:rPr>
          <w:rFonts w:hint="eastAsia" w:ascii="仿宋_GB2312" w:eastAsia="仿宋_GB2312"/>
          <w:sz w:val="24"/>
          <w:szCs w:val="24"/>
        </w:rPr>
      </w:pPr>
      <w:r>
        <w:rPr>
          <w:rFonts w:hint="eastAsia" w:ascii="仿宋_GB2312" w:eastAsia="仿宋_GB2312"/>
          <w:sz w:val="24"/>
          <w:szCs w:val="24"/>
        </w:rPr>
        <w:t>（1）负责对水源地周边的污染事故展开应急处置工作；</w:t>
      </w:r>
    </w:p>
    <w:p>
      <w:pPr>
        <w:keepNext w:val="0"/>
        <w:keepLines w:val="0"/>
        <w:pageBreakBefore w:val="0"/>
        <w:widowControl w:val="0"/>
        <w:kinsoku/>
        <w:wordWrap/>
        <w:overflowPunct/>
        <w:topLinePunct w:val="0"/>
        <w:autoSpaceDE/>
        <w:autoSpaceDN/>
        <w:bidi w:val="0"/>
        <w:adjustRightInd/>
        <w:snapToGrid/>
        <w:spacing w:line="458" w:lineRule="exact"/>
        <w:textAlignment w:val="auto"/>
        <w:rPr>
          <w:rFonts w:hint="eastAsia" w:ascii="仿宋_GB2312" w:eastAsia="仿宋_GB2312"/>
          <w:sz w:val="24"/>
          <w:szCs w:val="24"/>
        </w:rPr>
      </w:pPr>
      <w:r>
        <w:rPr>
          <w:rFonts w:hint="eastAsia" w:ascii="仿宋_GB2312" w:eastAsia="仿宋_GB2312"/>
          <w:sz w:val="24"/>
          <w:szCs w:val="24"/>
        </w:rPr>
        <w:t>（2）负责现场污染物消除，对污染团进行拦截、吸附、设置临时围堰等，对收集的污染物科学处置等。</w:t>
      </w:r>
    </w:p>
    <w:p>
      <w:pPr>
        <w:keepNext w:val="0"/>
        <w:keepLines w:val="0"/>
        <w:pageBreakBefore w:val="0"/>
        <w:widowControl w:val="0"/>
        <w:kinsoku/>
        <w:wordWrap/>
        <w:overflowPunct/>
        <w:topLinePunct w:val="0"/>
        <w:autoSpaceDE/>
        <w:autoSpaceDN/>
        <w:bidi w:val="0"/>
        <w:adjustRightInd/>
        <w:snapToGrid/>
        <w:spacing w:line="458" w:lineRule="exact"/>
        <w:textAlignment w:val="auto"/>
        <w:rPr>
          <w:rFonts w:hint="eastAsia" w:ascii="仿宋_GB2312" w:eastAsia="仿宋_GB2312"/>
          <w:sz w:val="24"/>
          <w:szCs w:val="24"/>
        </w:rPr>
      </w:pPr>
      <w:r>
        <w:rPr>
          <w:rFonts w:hint="eastAsia" w:ascii="仿宋_GB2312" w:eastAsia="仿宋_GB2312"/>
          <w:sz w:val="24"/>
          <w:szCs w:val="24"/>
        </w:rPr>
        <w:t>2、应急供水保障小组</w:t>
      </w:r>
    </w:p>
    <w:p>
      <w:pPr>
        <w:keepNext w:val="0"/>
        <w:keepLines w:val="0"/>
        <w:pageBreakBefore w:val="0"/>
        <w:widowControl w:val="0"/>
        <w:kinsoku/>
        <w:wordWrap/>
        <w:overflowPunct/>
        <w:topLinePunct w:val="0"/>
        <w:autoSpaceDE/>
        <w:autoSpaceDN/>
        <w:bidi w:val="0"/>
        <w:adjustRightInd/>
        <w:snapToGrid/>
        <w:spacing w:line="458" w:lineRule="exact"/>
        <w:textAlignment w:val="auto"/>
        <w:rPr>
          <w:rFonts w:hint="eastAsia" w:ascii="仿宋_GB2312" w:eastAsia="仿宋_GB2312"/>
          <w:sz w:val="24"/>
          <w:szCs w:val="24"/>
        </w:rPr>
      </w:pPr>
      <w:r>
        <w:rPr>
          <w:rFonts w:hint="eastAsia" w:ascii="仿宋_GB2312" w:eastAsia="仿宋_GB2312"/>
          <w:sz w:val="24"/>
          <w:szCs w:val="24"/>
        </w:rPr>
        <w:t>（1）负责日常水源、供水管线维护等；</w:t>
      </w:r>
    </w:p>
    <w:p>
      <w:pPr>
        <w:keepNext w:val="0"/>
        <w:keepLines w:val="0"/>
        <w:pageBreakBefore w:val="0"/>
        <w:widowControl w:val="0"/>
        <w:kinsoku/>
        <w:wordWrap/>
        <w:overflowPunct/>
        <w:topLinePunct w:val="0"/>
        <w:autoSpaceDE/>
        <w:autoSpaceDN/>
        <w:bidi w:val="0"/>
        <w:adjustRightInd/>
        <w:snapToGrid/>
        <w:spacing w:line="458" w:lineRule="exact"/>
        <w:textAlignment w:val="auto"/>
        <w:rPr>
          <w:rFonts w:hint="eastAsia" w:ascii="仿宋_GB2312" w:eastAsia="仿宋_GB2312"/>
          <w:sz w:val="24"/>
          <w:szCs w:val="24"/>
        </w:rPr>
      </w:pPr>
      <w:r>
        <w:rPr>
          <w:rFonts w:hint="eastAsia" w:ascii="仿宋_GB2312" w:eastAsia="仿宋_GB2312"/>
          <w:sz w:val="24"/>
          <w:szCs w:val="24"/>
        </w:rPr>
        <w:t>（2）负责水源地周边环境维护及附属设施保养等；</w:t>
      </w:r>
    </w:p>
    <w:p>
      <w:pPr>
        <w:keepNext w:val="0"/>
        <w:keepLines w:val="0"/>
        <w:pageBreakBefore w:val="0"/>
        <w:widowControl w:val="0"/>
        <w:kinsoku/>
        <w:wordWrap/>
        <w:overflowPunct/>
        <w:topLinePunct w:val="0"/>
        <w:autoSpaceDE/>
        <w:autoSpaceDN/>
        <w:bidi w:val="0"/>
        <w:adjustRightInd/>
        <w:snapToGrid/>
        <w:spacing w:line="458" w:lineRule="exact"/>
        <w:textAlignment w:val="auto"/>
        <w:rPr>
          <w:rFonts w:hint="eastAsia" w:ascii="仿宋_GB2312" w:eastAsia="仿宋_GB2312"/>
          <w:sz w:val="24"/>
          <w:szCs w:val="24"/>
        </w:rPr>
      </w:pPr>
      <w:r>
        <w:rPr>
          <w:rFonts w:hint="eastAsia" w:ascii="仿宋_GB2312" w:eastAsia="仿宋_GB2312"/>
          <w:sz w:val="24"/>
          <w:szCs w:val="24"/>
        </w:rPr>
        <w:t>（3）参与相关培训及演练，熟悉应急工作，并负责制定其中的应急监测方案；</w:t>
      </w:r>
    </w:p>
    <w:p>
      <w:pPr>
        <w:keepNext w:val="0"/>
        <w:keepLines w:val="0"/>
        <w:pageBreakBefore w:val="0"/>
        <w:widowControl w:val="0"/>
        <w:kinsoku/>
        <w:wordWrap/>
        <w:overflowPunct/>
        <w:topLinePunct w:val="0"/>
        <w:autoSpaceDE/>
        <w:autoSpaceDN/>
        <w:bidi w:val="0"/>
        <w:adjustRightInd/>
        <w:snapToGrid/>
        <w:spacing w:line="458" w:lineRule="exact"/>
        <w:textAlignment w:val="auto"/>
        <w:rPr>
          <w:rFonts w:hint="eastAsia" w:ascii="仿宋_GB2312" w:eastAsia="仿宋_GB2312"/>
          <w:sz w:val="24"/>
          <w:szCs w:val="24"/>
        </w:rPr>
      </w:pPr>
      <w:r>
        <w:rPr>
          <w:rFonts w:hint="eastAsia" w:ascii="仿宋_GB2312" w:eastAsia="仿宋_GB2312"/>
          <w:sz w:val="24"/>
          <w:szCs w:val="24"/>
        </w:rPr>
        <w:t>（4）负责制定应急供水保障方案。</w:t>
      </w:r>
    </w:p>
    <w:p>
      <w:pPr>
        <w:keepNext w:val="0"/>
        <w:keepLines w:val="0"/>
        <w:pageBreakBefore w:val="0"/>
        <w:widowControl w:val="0"/>
        <w:kinsoku/>
        <w:wordWrap/>
        <w:overflowPunct/>
        <w:topLinePunct w:val="0"/>
        <w:autoSpaceDE/>
        <w:autoSpaceDN/>
        <w:bidi w:val="0"/>
        <w:adjustRightInd/>
        <w:snapToGrid/>
        <w:spacing w:line="458" w:lineRule="exact"/>
        <w:textAlignment w:val="auto"/>
        <w:rPr>
          <w:rFonts w:hint="eastAsia" w:ascii="仿宋_GB2312" w:eastAsia="仿宋_GB2312"/>
          <w:sz w:val="24"/>
          <w:szCs w:val="24"/>
        </w:rPr>
      </w:pPr>
      <w:r>
        <w:rPr>
          <w:rFonts w:hint="eastAsia" w:ascii="仿宋_GB2312" w:eastAsia="仿宋_GB2312"/>
          <w:sz w:val="24"/>
          <w:szCs w:val="24"/>
        </w:rPr>
        <w:t>3、应急物资保障小组</w:t>
      </w:r>
    </w:p>
    <w:p>
      <w:pPr>
        <w:keepNext w:val="0"/>
        <w:keepLines w:val="0"/>
        <w:pageBreakBefore w:val="0"/>
        <w:widowControl w:val="0"/>
        <w:kinsoku/>
        <w:wordWrap/>
        <w:overflowPunct/>
        <w:topLinePunct w:val="0"/>
        <w:autoSpaceDE/>
        <w:autoSpaceDN/>
        <w:bidi w:val="0"/>
        <w:adjustRightInd/>
        <w:snapToGrid/>
        <w:spacing w:line="458" w:lineRule="exact"/>
        <w:textAlignment w:val="auto"/>
        <w:rPr>
          <w:rFonts w:hint="eastAsia" w:ascii="仿宋_GB2312" w:eastAsia="仿宋_GB2312"/>
          <w:sz w:val="24"/>
          <w:szCs w:val="24"/>
        </w:rPr>
      </w:pPr>
      <w:r>
        <w:rPr>
          <w:rFonts w:hint="eastAsia" w:ascii="仿宋_GB2312" w:eastAsia="仿宋_GB2312"/>
          <w:sz w:val="24"/>
          <w:szCs w:val="24"/>
        </w:rPr>
        <w:t>（1）负责对应急车辆进行安排和调配；</w:t>
      </w:r>
    </w:p>
    <w:p>
      <w:pPr>
        <w:keepNext w:val="0"/>
        <w:keepLines w:val="0"/>
        <w:pageBreakBefore w:val="0"/>
        <w:widowControl w:val="0"/>
        <w:kinsoku/>
        <w:wordWrap/>
        <w:overflowPunct/>
        <w:topLinePunct w:val="0"/>
        <w:autoSpaceDE/>
        <w:autoSpaceDN/>
        <w:bidi w:val="0"/>
        <w:adjustRightInd/>
        <w:snapToGrid/>
        <w:spacing w:line="458" w:lineRule="exact"/>
        <w:textAlignment w:val="auto"/>
        <w:rPr>
          <w:rFonts w:hint="eastAsia" w:ascii="仿宋_GB2312" w:eastAsia="仿宋_GB2312"/>
          <w:sz w:val="24"/>
          <w:szCs w:val="24"/>
        </w:rPr>
      </w:pPr>
      <w:r>
        <w:rPr>
          <w:rFonts w:hint="eastAsia" w:ascii="仿宋_GB2312" w:eastAsia="仿宋_GB2312"/>
          <w:sz w:val="24"/>
          <w:szCs w:val="24"/>
        </w:rPr>
        <w:t>（2）配合调配应急物资，为救援行动提供部分物资保证（包括污染物吸附、中和的材料及药剂，挖掘或设置临时围堰的器材，监测器材和指挥通信器材等）；</w:t>
      </w:r>
    </w:p>
    <w:p>
      <w:pPr>
        <w:keepNext w:val="0"/>
        <w:keepLines w:val="0"/>
        <w:pageBreakBefore w:val="0"/>
        <w:widowControl w:val="0"/>
        <w:kinsoku/>
        <w:wordWrap/>
        <w:overflowPunct/>
        <w:topLinePunct w:val="0"/>
        <w:autoSpaceDE/>
        <w:autoSpaceDN/>
        <w:bidi w:val="0"/>
        <w:adjustRightInd/>
        <w:snapToGrid/>
        <w:spacing w:line="458" w:lineRule="exact"/>
        <w:textAlignment w:val="auto"/>
        <w:rPr>
          <w:rFonts w:hint="eastAsia" w:ascii="仿宋_GB2312" w:eastAsia="仿宋_GB2312"/>
          <w:sz w:val="24"/>
          <w:szCs w:val="24"/>
        </w:rPr>
      </w:pPr>
      <w:r>
        <w:rPr>
          <w:rFonts w:hint="eastAsia" w:ascii="仿宋_GB2312" w:eastAsia="仿宋_GB2312"/>
          <w:sz w:val="24"/>
          <w:szCs w:val="24"/>
        </w:rPr>
        <w:t>（3）负责应急时的后勤保障工作；</w:t>
      </w:r>
    </w:p>
    <w:p>
      <w:pPr>
        <w:keepNext w:val="0"/>
        <w:keepLines w:val="0"/>
        <w:pageBreakBefore w:val="0"/>
        <w:widowControl w:val="0"/>
        <w:kinsoku/>
        <w:wordWrap/>
        <w:overflowPunct/>
        <w:topLinePunct w:val="0"/>
        <w:autoSpaceDE/>
        <w:autoSpaceDN/>
        <w:bidi w:val="0"/>
        <w:adjustRightInd/>
        <w:snapToGrid/>
        <w:spacing w:line="458" w:lineRule="exact"/>
        <w:textAlignment w:val="auto"/>
        <w:rPr>
          <w:rFonts w:hint="eastAsia" w:ascii="仿宋_GB2312" w:eastAsia="仿宋_GB2312"/>
          <w:sz w:val="24"/>
          <w:szCs w:val="24"/>
        </w:rPr>
      </w:pPr>
      <w:r>
        <w:rPr>
          <w:rFonts w:hint="eastAsia" w:ascii="仿宋_GB2312" w:eastAsia="仿宋_GB2312"/>
          <w:sz w:val="24"/>
          <w:szCs w:val="24"/>
        </w:rPr>
        <w:t>（4）负责做好善后处置上报工作，包括征用物资补偿，救援费用的支付，污染物收集、清理与处理等事项；</w:t>
      </w:r>
    </w:p>
    <w:p>
      <w:pPr>
        <w:keepNext w:val="0"/>
        <w:keepLines w:val="0"/>
        <w:pageBreakBefore w:val="0"/>
        <w:widowControl w:val="0"/>
        <w:kinsoku/>
        <w:wordWrap/>
        <w:overflowPunct/>
        <w:topLinePunct w:val="0"/>
        <w:autoSpaceDE/>
        <w:autoSpaceDN/>
        <w:bidi w:val="0"/>
        <w:adjustRightInd/>
        <w:snapToGrid/>
        <w:spacing w:line="458" w:lineRule="exact"/>
        <w:textAlignment w:val="auto"/>
        <w:rPr>
          <w:rFonts w:hint="eastAsia" w:ascii="仿宋_GB2312" w:eastAsia="仿宋_GB2312"/>
          <w:sz w:val="24"/>
          <w:szCs w:val="24"/>
        </w:rPr>
      </w:pPr>
      <w:r>
        <w:rPr>
          <w:rFonts w:hint="eastAsia" w:ascii="仿宋_GB2312" w:eastAsia="仿宋_GB2312"/>
          <w:sz w:val="24"/>
          <w:szCs w:val="24"/>
        </w:rPr>
        <w:t>（5）协助尽快消除事故后果和影响，保证社会稳定，尽快恢复水源供水正常秩序。</w:t>
      </w:r>
    </w:p>
    <w:p>
      <w:pPr>
        <w:keepNext w:val="0"/>
        <w:keepLines w:val="0"/>
        <w:pageBreakBefore w:val="0"/>
        <w:widowControl w:val="0"/>
        <w:kinsoku/>
        <w:wordWrap/>
        <w:overflowPunct/>
        <w:topLinePunct w:val="0"/>
        <w:autoSpaceDE/>
        <w:autoSpaceDN/>
        <w:bidi w:val="0"/>
        <w:adjustRightInd/>
        <w:snapToGrid/>
        <w:spacing w:line="458" w:lineRule="exact"/>
        <w:textAlignment w:val="auto"/>
        <w:rPr>
          <w:rFonts w:hint="eastAsia" w:ascii="仿宋_GB2312" w:eastAsia="仿宋_GB2312"/>
          <w:sz w:val="24"/>
          <w:szCs w:val="24"/>
        </w:rPr>
      </w:pPr>
      <w:r>
        <w:rPr>
          <w:rFonts w:hint="eastAsia" w:ascii="仿宋_GB2312" w:eastAsia="仿宋_GB2312"/>
          <w:sz w:val="24"/>
          <w:szCs w:val="24"/>
        </w:rPr>
        <w:t>4、机动应急人员小组</w:t>
      </w:r>
    </w:p>
    <w:p>
      <w:pPr>
        <w:keepNext w:val="0"/>
        <w:keepLines w:val="0"/>
        <w:pageBreakBefore w:val="0"/>
        <w:widowControl w:val="0"/>
        <w:kinsoku/>
        <w:wordWrap/>
        <w:overflowPunct/>
        <w:topLinePunct w:val="0"/>
        <w:autoSpaceDE/>
        <w:autoSpaceDN/>
        <w:bidi w:val="0"/>
        <w:adjustRightInd/>
        <w:snapToGrid/>
        <w:spacing w:line="458" w:lineRule="exact"/>
        <w:textAlignment w:val="auto"/>
        <w:rPr>
          <w:rFonts w:hint="eastAsia" w:ascii="仿宋_GB2312" w:eastAsia="仿宋_GB2312"/>
          <w:sz w:val="24"/>
          <w:szCs w:val="24"/>
        </w:rPr>
      </w:pPr>
      <w:r>
        <w:rPr>
          <w:rFonts w:hint="eastAsia" w:ascii="仿宋_GB2312" w:eastAsia="仿宋_GB2312"/>
          <w:sz w:val="24"/>
          <w:szCs w:val="24"/>
        </w:rPr>
        <w:t>（1）配合监测单位及监测人员开展应急监测工作，并制定应急监测方案；</w:t>
      </w:r>
    </w:p>
    <w:p>
      <w:pPr>
        <w:keepNext w:val="0"/>
        <w:keepLines w:val="0"/>
        <w:pageBreakBefore w:val="0"/>
        <w:widowControl w:val="0"/>
        <w:kinsoku/>
        <w:wordWrap/>
        <w:overflowPunct/>
        <w:topLinePunct w:val="0"/>
        <w:autoSpaceDE/>
        <w:autoSpaceDN/>
        <w:bidi w:val="0"/>
        <w:adjustRightInd/>
        <w:snapToGrid/>
        <w:spacing w:line="458" w:lineRule="exact"/>
        <w:textAlignment w:val="auto"/>
        <w:rPr>
          <w:rFonts w:hint="eastAsia" w:ascii="仿宋_GB2312" w:eastAsia="仿宋_GB2312"/>
          <w:sz w:val="24"/>
          <w:szCs w:val="24"/>
        </w:rPr>
      </w:pPr>
      <w:r>
        <w:rPr>
          <w:rFonts w:hint="eastAsia" w:ascii="仿宋_GB2312" w:eastAsia="仿宋_GB2312"/>
          <w:sz w:val="24"/>
          <w:szCs w:val="24"/>
        </w:rPr>
        <w:t>（2）配合监测单位为上级管理部门提供水质监测结果，对应急期间的水源地、管网末梢水的水质监测进行实时跟踪，为集中式饮用水水源地突发环境事件应对措施提供依据；</w:t>
      </w:r>
    </w:p>
    <w:p>
      <w:pPr>
        <w:keepNext w:val="0"/>
        <w:keepLines w:val="0"/>
        <w:pageBreakBefore w:val="0"/>
        <w:widowControl w:val="0"/>
        <w:kinsoku/>
        <w:wordWrap/>
        <w:overflowPunct/>
        <w:topLinePunct w:val="0"/>
        <w:autoSpaceDE/>
        <w:autoSpaceDN/>
        <w:bidi w:val="0"/>
        <w:adjustRightInd/>
        <w:snapToGrid/>
        <w:spacing w:line="458" w:lineRule="exact"/>
        <w:textAlignment w:val="auto"/>
        <w:rPr>
          <w:rFonts w:hint="eastAsia" w:ascii="仿宋_GB2312" w:eastAsia="仿宋_GB2312"/>
          <w:sz w:val="24"/>
          <w:szCs w:val="24"/>
        </w:rPr>
      </w:pPr>
      <w:r>
        <w:rPr>
          <w:rFonts w:hint="eastAsia" w:ascii="仿宋_GB2312" w:eastAsia="仿宋_GB2312"/>
          <w:sz w:val="24"/>
          <w:szCs w:val="24"/>
        </w:rPr>
        <w:t>（3）配合原平市水源应急指挥部，协调专家，为现场应急处置工作提供技术支持。</w:t>
      </w:r>
    </w:p>
    <w:p>
      <w:pPr>
        <w:pStyle w:val="4"/>
        <w:bidi w:val="0"/>
        <w:rPr>
          <w:rFonts w:hint="eastAsia"/>
        </w:rPr>
      </w:pPr>
      <w:r>
        <w:rPr>
          <w:rFonts w:hint="eastAsia"/>
        </w:rPr>
        <w:t>3  预警</w:t>
      </w:r>
    </w:p>
    <w:p>
      <w:pPr>
        <w:pStyle w:val="5"/>
        <w:pageBreakBefore w:val="0"/>
        <w:widowControl w:val="0"/>
        <w:kinsoku/>
        <w:wordWrap/>
        <w:overflowPunct/>
        <w:topLinePunct w:val="0"/>
        <w:autoSpaceDE/>
        <w:autoSpaceDN/>
        <w:bidi w:val="0"/>
        <w:adjustRightInd/>
        <w:spacing w:line="458" w:lineRule="exact"/>
        <w:textAlignment w:val="auto"/>
        <w:rPr>
          <w:rFonts w:hint="eastAsia"/>
        </w:rPr>
      </w:pPr>
      <w:r>
        <w:rPr>
          <w:rFonts w:hint="eastAsia"/>
        </w:rPr>
        <w:t>3.1  预警分级</w:t>
      </w:r>
    </w:p>
    <w:p>
      <w:pPr>
        <w:keepNext w:val="0"/>
        <w:keepLines w:val="0"/>
        <w:pageBreakBefore w:val="0"/>
        <w:widowControl w:val="0"/>
        <w:kinsoku/>
        <w:wordWrap/>
        <w:overflowPunct/>
        <w:topLinePunct w:val="0"/>
        <w:autoSpaceDE/>
        <w:autoSpaceDN/>
        <w:bidi w:val="0"/>
        <w:adjustRightInd/>
        <w:snapToGrid/>
        <w:spacing w:line="458" w:lineRule="exact"/>
        <w:textAlignment w:val="auto"/>
        <w:rPr>
          <w:rFonts w:hint="eastAsia" w:ascii="仿宋_GB2312" w:eastAsia="仿宋_GB2312"/>
          <w:sz w:val="24"/>
          <w:szCs w:val="24"/>
        </w:rPr>
      </w:pPr>
      <w:r>
        <w:rPr>
          <w:rFonts w:hint="eastAsia" w:ascii="仿宋_GB2312" w:eastAsia="仿宋_GB2312"/>
          <w:sz w:val="24"/>
          <w:szCs w:val="24"/>
        </w:rPr>
        <w:t>根据原平市乡（镇、街道）集中式饮用水水源地突发环境事件的污染物危害性、事态的紧急程度、采取的响应措施以及对取水可能造成的影响等实际情况，该水源地突发环境事件应急预案的预警级别分为橙色和红色两级预警。</w:t>
      </w:r>
    </w:p>
    <w:p>
      <w:pPr>
        <w:keepNext w:val="0"/>
        <w:keepLines w:val="0"/>
        <w:pageBreakBefore w:val="0"/>
        <w:widowControl w:val="0"/>
        <w:kinsoku/>
        <w:wordWrap/>
        <w:overflowPunct/>
        <w:topLinePunct w:val="0"/>
        <w:autoSpaceDE/>
        <w:autoSpaceDN/>
        <w:bidi w:val="0"/>
        <w:adjustRightInd/>
        <w:snapToGrid/>
        <w:spacing w:line="458" w:lineRule="exact"/>
        <w:textAlignment w:val="auto"/>
        <w:rPr>
          <w:rFonts w:hint="eastAsia" w:ascii="仿宋_GB2312" w:eastAsia="仿宋_GB2312"/>
          <w:sz w:val="24"/>
          <w:szCs w:val="24"/>
        </w:rPr>
      </w:pPr>
      <w:r>
        <w:rPr>
          <w:rFonts w:hint="eastAsia" w:ascii="仿宋_GB2312" w:eastAsia="仿宋_GB2312"/>
          <w:sz w:val="24"/>
          <w:szCs w:val="24"/>
        </w:rPr>
        <w:t>橙色预警：当污染物迁移至水源地应急预案适用的地域范围，但水源保护区饮用水体尚未受到污染，或是污染物已进入水源保护区内或下渗进入周边土壤，经过专家组研判认为对水源地水质影响可能较小、可能不影响取水时，为橙色预警。</w:t>
      </w:r>
    </w:p>
    <w:p>
      <w:pPr>
        <w:keepNext w:val="0"/>
        <w:keepLines w:val="0"/>
        <w:pageBreakBefore w:val="0"/>
        <w:widowControl w:val="0"/>
        <w:kinsoku/>
        <w:wordWrap/>
        <w:overflowPunct/>
        <w:topLinePunct w:val="0"/>
        <w:autoSpaceDE/>
        <w:autoSpaceDN/>
        <w:bidi w:val="0"/>
        <w:adjustRightInd/>
        <w:snapToGrid/>
        <w:spacing w:line="458" w:lineRule="exact"/>
        <w:textAlignment w:val="auto"/>
        <w:rPr>
          <w:rFonts w:hint="eastAsia" w:ascii="仿宋_GB2312" w:eastAsia="仿宋_GB2312"/>
          <w:sz w:val="24"/>
          <w:szCs w:val="24"/>
        </w:rPr>
      </w:pPr>
      <w:r>
        <w:rPr>
          <w:rFonts w:hint="eastAsia" w:ascii="仿宋_GB2312" w:eastAsia="仿宋_GB2312"/>
          <w:sz w:val="24"/>
          <w:szCs w:val="24"/>
        </w:rPr>
        <w:t>红色预警：当污染物已进入（或出现在）水源保护区或已存在污染饮用水水体的可能，经过专家组研判认为对水源地水质影响可能较大时、可能影响取水时，为红色预警。</w:t>
      </w:r>
    </w:p>
    <w:p>
      <w:pPr>
        <w:pStyle w:val="5"/>
        <w:pageBreakBefore w:val="0"/>
        <w:widowControl w:val="0"/>
        <w:kinsoku/>
        <w:wordWrap/>
        <w:overflowPunct/>
        <w:topLinePunct w:val="0"/>
        <w:autoSpaceDE/>
        <w:autoSpaceDN/>
        <w:bidi w:val="0"/>
        <w:adjustRightInd/>
        <w:spacing w:line="458" w:lineRule="exact"/>
        <w:textAlignment w:val="auto"/>
        <w:rPr>
          <w:rFonts w:hint="eastAsia"/>
        </w:rPr>
      </w:pPr>
      <w:r>
        <w:rPr>
          <w:rFonts w:hint="eastAsia"/>
        </w:rPr>
        <w:t>3.2  预警启动条件</w:t>
      </w:r>
    </w:p>
    <w:p>
      <w:pPr>
        <w:keepNext w:val="0"/>
        <w:keepLines w:val="0"/>
        <w:pageBreakBefore w:val="0"/>
        <w:widowControl w:val="0"/>
        <w:kinsoku/>
        <w:wordWrap/>
        <w:overflowPunct/>
        <w:topLinePunct w:val="0"/>
        <w:autoSpaceDE/>
        <w:autoSpaceDN/>
        <w:bidi w:val="0"/>
        <w:adjustRightInd/>
        <w:snapToGrid/>
        <w:spacing w:line="458" w:lineRule="exact"/>
        <w:textAlignment w:val="auto"/>
        <w:rPr>
          <w:rFonts w:hint="eastAsia" w:ascii="仿宋_GB2312" w:eastAsia="仿宋_GB2312"/>
          <w:sz w:val="24"/>
          <w:szCs w:val="24"/>
        </w:rPr>
      </w:pPr>
      <w:r>
        <w:rPr>
          <w:rFonts w:hint="eastAsia" w:ascii="仿宋_GB2312" w:eastAsia="仿宋_GB2312"/>
          <w:sz w:val="24"/>
          <w:szCs w:val="24"/>
        </w:rPr>
        <w:t>根据集中式饮用水水源地突发环境事件类型、发生地点、污染物质种类和数量等情况，启动不同级别的预警。</w:t>
      </w:r>
    </w:p>
    <w:p>
      <w:pPr>
        <w:keepNext w:val="0"/>
        <w:keepLines w:val="0"/>
        <w:pageBreakBefore w:val="0"/>
        <w:widowControl w:val="0"/>
        <w:kinsoku/>
        <w:wordWrap/>
        <w:overflowPunct/>
        <w:topLinePunct w:val="0"/>
        <w:autoSpaceDE/>
        <w:autoSpaceDN/>
        <w:bidi w:val="0"/>
        <w:adjustRightInd/>
        <w:snapToGrid/>
        <w:spacing w:line="458" w:lineRule="exact"/>
        <w:textAlignment w:val="auto"/>
        <w:rPr>
          <w:rFonts w:hint="eastAsia" w:ascii="仿宋_GB2312" w:eastAsia="仿宋_GB2312"/>
          <w:sz w:val="24"/>
          <w:szCs w:val="24"/>
        </w:rPr>
      </w:pPr>
      <w:r>
        <w:rPr>
          <w:rFonts w:hint="eastAsia" w:ascii="仿宋_GB2312" w:eastAsia="仿宋_GB2312"/>
          <w:sz w:val="24"/>
          <w:szCs w:val="24"/>
        </w:rPr>
        <w:t>（1）橙色预警启动条件</w:t>
      </w:r>
    </w:p>
    <w:p>
      <w:pPr>
        <w:keepNext w:val="0"/>
        <w:keepLines w:val="0"/>
        <w:pageBreakBefore w:val="0"/>
        <w:widowControl w:val="0"/>
        <w:kinsoku/>
        <w:wordWrap/>
        <w:overflowPunct/>
        <w:topLinePunct w:val="0"/>
        <w:autoSpaceDE/>
        <w:autoSpaceDN/>
        <w:bidi w:val="0"/>
        <w:adjustRightInd/>
        <w:snapToGrid/>
        <w:spacing w:line="458" w:lineRule="exact"/>
        <w:textAlignment w:val="auto"/>
        <w:rPr>
          <w:rFonts w:hint="eastAsia" w:ascii="仿宋_GB2312" w:eastAsia="仿宋_GB2312"/>
          <w:sz w:val="24"/>
          <w:szCs w:val="24"/>
        </w:rPr>
      </w:pPr>
      <w:r>
        <w:rPr>
          <w:rFonts w:hint="eastAsia" w:ascii="仿宋_GB2312" w:eastAsia="仿宋_GB2312"/>
          <w:sz w:val="24"/>
          <w:szCs w:val="24"/>
        </w:rPr>
        <w:t>通过信息报告发现，在水源二级保护区或一级保护区周边一定范围内发生固定源或流动源等突发环境事件。</w:t>
      </w:r>
    </w:p>
    <w:p>
      <w:pPr>
        <w:keepNext w:val="0"/>
        <w:keepLines w:val="0"/>
        <w:pageBreakBefore w:val="0"/>
        <w:widowControl w:val="0"/>
        <w:kinsoku/>
        <w:wordWrap/>
        <w:overflowPunct/>
        <w:topLinePunct w:val="0"/>
        <w:autoSpaceDE/>
        <w:autoSpaceDN/>
        <w:bidi w:val="0"/>
        <w:adjustRightInd/>
        <w:snapToGrid/>
        <w:spacing w:line="458" w:lineRule="exact"/>
        <w:textAlignment w:val="auto"/>
        <w:rPr>
          <w:rFonts w:hint="eastAsia" w:ascii="仿宋_GB2312" w:eastAsia="仿宋_GB2312"/>
          <w:sz w:val="24"/>
          <w:szCs w:val="24"/>
        </w:rPr>
      </w:pPr>
      <w:r>
        <w:rPr>
          <w:rFonts w:hint="eastAsia" w:ascii="仿宋_GB2312" w:eastAsia="仿宋_GB2312"/>
          <w:sz w:val="24"/>
          <w:szCs w:val="24"/>
        </w:rPr>
        <w:t>（2）红色预警启动条件</w:t>
      </w:r>
    </w:p>
    <w:p>
      <w:pPr>
        <w:keepNext w:val="0"/>
        <w:keepLines w:val="0"/>
        <w:pageBreakBefore w:val="0"/>
        <w:widowControl w:val="0"/>
        <w:kinsoku/>
        <w:wordWrap/>
        <w:overflowPunct/>
        <w:topLinePunct w:val="0"/>
        <w:autoSpaceDE/>
        <w:autoSpaceDN/>
        <w:bidi w:val="0"/>
        <w:adjustRightInd/>
        <w:snapToGrid/>
        <w:spacing w:line="458" w:lineRule="exact"/>
        <w:textAlignment w:val="auto"/>
        <w:rPr>
          <w:rFonts w:hint="eastAsia" w:ascii="仿宋_GB2312" w:eastAsia="仿宋_GB2312"/>
          <w:sz w:val="24"/>
          <w:szCs w:val="24"/>
        </w:rPr>
      </w:pPr>
      <w:r>
        <w:rPr>
          <w:rFonts w:hint="eastAsia" w:ascii="仿宋_GB2312" w:eastAsia="仿宋_GB2312"/>
          <w:sz w:val="24"/>
          <w:szCs w:val="24"/>
        </w:rPr>
        <w:t>①通过信息报告发现，在一级保护区内发生突发环境事件。</w:t>
      </w:r>
    </w:p>
    <w:p>
      <w:pPr>
        <w:keepNext w:val="0"/>
        <w:keepLines w:val="0"/>
        <w:pageBreakBefore w:val="0"/>
        <w:widowControl w:val="0"/>
        <w:kinsoku/>
        <w:wordWrap/>
        <w:overflowPunct/>
        <w:topLinePunct w:val="0"/>
        <w:autoSpaceDE/>
        <w:autoSpaceDN/>
        <w:bidi w:val="0"/>
        <w:adjustRightInd/>
        <w:snapToGrid/>
        <w:spacing w:line="458" w:lineRule="exact"/>
        <w:textAlignment w:val="auto"/>
        <w:rPr>
          <w:rFonts w:hint="eastAsia" w:ascii="仿宋_GB2312" w:eastAsia="仿宋_GB2312"/>
          <w:sz w:val="24"/>
          <w:szCs w:val="24"/>
        </w:rPr>
      </w:pPr>
      <w:r>
        <w:rPr>
          <w:rFonts w:hint="eastAsia" w:ascii="仿宋_GB2312" w:eastAsia="仿宋_GB2312"/>
          <w:sz w:val="24"/>
          <w:szCs w:val="24"/>
        </w:rPr>
        <w:t>②通过监测发现，水源保护区水体理化指标异常。</w:t>
      </w:r>
    </w:p>
    <w:p>
      <w:pPr>
        <w:pStyle w:val="5"/>
        <w:pageBreakBefore w:val="0"/>
        <w:widowControl w:val="0"/>
        <w:kinsoku/>
        <w:wordWrap/>
        <w:overflowPunct/>
        <w:topLinePunct w:val="0"/>
        <w:autoSpaceDE/>
        <w:autoSpaceDN/>
        <w:bidi w:val="0"/>
        <w:adjustRightInd/>
        <w:spacing w:line="458" w:lineRule="exact"/>
        <w:textAlignment w:val="auto"/>
        <w:rPr>
          <w:rFonts w:hint="eastAsia"/>
        </w:rPr>
      </w:pPr>
      <w:r>
        <w:rPr>
          <w:rFonts w:hint="eastAsia"/>
        </w:rPr>
        <w:t xml:space="preserve">3.3  预警信息发布 </w:t>
      </w:r>
    </w:p>
    <w:p>
      <w:pPr>
        <w:keepNext w:val="0"/>
        <w:keepLines w:val="0"/>
        <w:pageBreakBefore w:val="0"/>
        <w:widowControl w:val="0"/>
        <w:kinsoku/>
        <w:wordWrap/>
        <w:overflowPunct/>
        <w:topLinePunct w:val="0"/>
        <w:autoSpaceDE/>
        <w:autoSpaceDN/>
        <w:bidi w:val="0"/>
        <w:adjustRightInd/>
        <w:snapToGrid/>
        <w:spacing w:line="458" w:lineRule="exact"/>
        <w:textAlignment w:val="auto"/>
        <w:rPr>
          <w:rFonts w:hint="eastAsia" w:ascii="仿宋_GB2312" w:eastAsia="仿宋_GB2312"/>
          <w:sz w:val="24"/>
          <w:szCs w:val="24"/>
        </w:rPr>
      </w:pPr>
      <w:r>
        <w:rPr>
          <w:rFonts w:hint="eastAsia" w:ascii="仿宋_GB2312" w:eastAsia="仿宋_GB2312"/>
          <w:sz w:val="24"/>
          <w:szCs w:val="24"/>
        </w:rPr>
        <w:t>原平市水源应急指挥部负责对事件信息进行跟踪收集和研判，并根据达到的预警级别条件发布相应的预警，通报组织实施预警行动和应急处置行动的部门和单位。同时通过电视、微信、报纸、互联网、手机短信、当面告知等渠道或方式向原平市公众发布预警信息，并通报可能影响到的相关地区。</w:t>
      </w:r>
    </w:p>
    <w:p>
      <w:pPr>
        <w:keepNext w:val="0"/>
        <w:keepLines w:val="0"/>
        <w:pageBreakBefore w:val="0"/>
        <w:widowControl w:val="0"/>
        <w:kinsoku/>
        <w:wordWrap/>
        <w:overflowPunct/>
        <w:topLinePunct w:val="0"/>
        <w:autoSpaceDE/>
        <w:autoSpaceDN/>
        <w:bidi w:val="0"/>
        <w:adjustRightInd/>
        <w:snapToGrid/>
        <w:spacing w:line="458" w:lineRule="exact"/>
        <w:textAlignment w:val="auto"/>
        <w:rPr>
          <w:rFonts w:hint="eastAsia" w:ascii="仿宋_GB2312" w:eastAsia="仿宋_GB2312"/>
          <w:sz w:val="24"/>
          <w:szCs w:val="24"/>
        </w:rPr>
      </w:pPr>
      <w:r>
        <w:rPr>
          <w:rFonts w:hint="eastAsia" w:ascii="仿宋_GB2312" w:eastAsia="仿宋_GB2312"/>
          <w:sz w:val="24"/>
          <w:szCs w:val="24"/>
        </w:rPr>
        <w:t>预警信息发布后，同时启动应急预案，并由原平市水源应急指挥部根据事态发展、采取措施的效果，适时调整预警级别并再次发布。</w:t>
      </w:r>
    </w:p>
    <w:p>
      <w:pPr>
        <w:pStyle w:val="5"/>
        <w:pageBreakBefore w:val="0"/>
        <w:widowControl w:val="0"/>
        <w:kinsoku/>
        <w:wordWrap/>
        <w:overflowPunct/>
        <w:topLinePunct w:val="0"/>
        <w:autoSpaceDE/>
        <w:autoSpaceDN/>
        <w:bidi w:val="0"/>
        <w:adjustRightInd/>
        <w:spacing w:line="458" w:lineRule="exact"/>
        <w:textAlignment w:val="auto"/>
        <w:rPr>
          <w:rFonts w:hint="eastAsia"/>
        </w:rPr>
      </w:pPr>
      <w:r>
        <w:rPr>
          <w:rFonts w:hint="eastAsia"/>
        </w:rPr>
        <w:t>3.4  预警解除</w:t>
      </w:r>
    </w:p>
    <w:p>
      <w:pPr>
        <w:keepNext w:val="0"/>
        <w:keepLines w:val="0"/>
        <w:pageBreakBefore w:val="0"/>
        <w:widowControl w:val="0"/>
        <w:kinsoku/>
        <w:wordWrap/>
        <w:overflowPunct/>
        <w:topLinePunct w:val="0"/>
        <w:autoSpaceDE/>
        <w:autoSpaceDN/>
        <w:bidi w:val="0"/>
        <w:adjustRightInd/>
        <w:snapToGrid/>
        <w:spacing w:line="458" w:lineRule="exact"/>
        <w:textAlignment w:val="auto"/>
        <w:rPr>
          <w:rFonts w:hint="eastAsia" w:ascii="仿宋_GB2312" w:eastAsia="仿宋_GB2312"/>
          <w:sz w:val="24"/>
          <w:szCs w:val="24"/>
        </w:rPr>
      </w:pPr>
      <w:r>
        <w:rPr>
          <w:rFonts w:hint="eastAsia" w:ascii="仿宋_GB2312" w:eastAsia="仿宋_GB2312"/>
          <w:sz w:val="24"/>
          <w:szCs w:val="24"/>
        </w:rPr>
        <w:t>当突发环境事件条件已经排除、污染物质已降至规定限值以内、所造成的危害基本消除时，由原平市水源应急指挥部宣布解除预警，终止已经采取的有关行动和措施。</w:t>
      </w:r>
    </w:p>
    <w:p>
      <w:pPr>
        <w:pStyle w:val="4"/>
        <w:bidi w:val="0"/>
        <w:rPr>
          <w:rFonts w:hint="eastAsia"/>
        </w:rPr>
      </w:pPr>
      <w:r>
        <w:rPr>
          <w:rFonts w:hint="eastAsia"/>
        </w:rPr>
        <w:t>4  应急响应及处置</w:t>
      </w:r>
    </w:p>
    <w:p>
      <w:pPr>
        <w:pStyle w:val="5"/>
        <w:pageBreakBefore w:val="0"/>
        <w:widowControl w:val="0"/>
        <w:kinsoku/>
        <w:wordWrap/>
        <w:overflowPunct/>
        <w:topLinePunct w:val="0"/>
        <w:autoSpaceDE/>
        <w:autoSpaceDN/>
        <w:bidi w:val="0"/>
        <w:adjustRightInd/>
        <w:spacing w:line="458" w:lineRule="exact"/>
        <w:textAlignment w:val="auto"/>
        <w:rPr>
          <w:rFonts w:hint="eastAsia"/>
        </w:rPr>
      </w:pPr>
      <w:r>
        <w:rPr>
          <w:rFonts w:hint="eastAsia"/>
        </w:rPr>
        <w:t>4.1  分级响应</w:t>
      </w:r>
    </w:p>
    <w:p>
      <w:pPr>
        <w:keepNext w:val="0"/>
        <w:keepLines w:val="0"/>
        <w:pageBreakBefore w:val="0"/>
        <w:widowControl w:val="0"/>
        <w:kinsoku/>
        <w:wordWrap/>
        <w:overflowPunct/>
        <w:topLinePunct w:val="0"/>
        <w:autoSpaceDE/>
        <w:autoSpaceDN/>
        <w:bidi w:val="0"/>
        <w:adjustRightInd/>
        <w:snapToGrid/>
        <w:spacing w:line="458" w:lineRule="exact"/>
        <w:textAlignment w:val="auto"/>
        <w:rPr>
          <w:rFonts w:hint="eastAsia" w:ascii="仿宋_GB2312" w:eastAsia="仿宋_GB2312"/>
          <w:sz w:val="24"/>
          <w:szCs w:val="24"/>
        </w:rPr>
      </w:pPr>
      <w:r>
        <w:rPr>
          <w:rFonts w:hint="eastAsia" w:ascii="仿宋_GB2312" w:eastAsia="仿宋_GB2312"/>
          <w:sz w:val="24"/>
          <w:szCs w:val="24"/>
        </w:rPr>
        <w:t>依据突发环境事件的严重程度和发展态势，按照预警级别划分的红色和橙色两级，将应急响应设定为Ⅰ级、Ⅱ级两个等级。</w:t>
      </w:r>
    </w:p>
    <w:p>
      <w:pPr>
        <w:keepNext w:val="0"/>
        <w:keepLines w:val="0"/>
        <w:pageBreakBefore w:val="0"/>
        <w:widowControl w:val="0"/>
        <w:kinsoku/>
        <w:wordWrap/>
        <w:overflowPunct/>
        <w:topLinePunct w:val="0"/>
        <w:autoSpaceDE/>
        <w:autoSpaceDN/>
        <w:bidi w:val="0"/>
        <w:adjustRightInd/>
        <w:snapToGrid/>
        <w:spacing w:line="458" w:lineRule="exact"/>
        <w:textAlignment w:val="auto"/>
        <w:rPr>
          <w:rFonts w:hint="eastAsia" w:ascii="仿宋_GB2312" w:eastAsia="仿宋_GB2312"/>
          <w:sz w:val="24"/>
          <w:szCs w:val="24"/>
        </w:rPr>
      </w:pPr>
      <w:r>
        <w:rPr>
          <w:rFonts w:hint="eastAsia" w:ascii="仿宋_GB2312" w:eastAsia="仿宋_GB2312"/>
          <w:sz w:val="24"/>
          <w:szCs w:val="24"/>
        </w:rPr>
        <w:t>初判为红色预警的，启动Ⅰ级应急响应，由原平市水源应急指挥部组织有关部门及原平市人民政府负责应对工作；初判为橙色预警的，启动Ⅱ级应急响应，在乡（镇、街道）现场指挥部的统一领导下，开展应对工作。</w:t>
      </w:r>
    </w:p>
    <w:p>
      <w:pPr>
        <w:pStyle w:val="5"/>
        <w:pageBreakBefore w:val="0"/>
        <w:widowControl w:val="0"/>
        <w:kinsoku/>
        <w:wordWrap/>
        <w:overflowPunct/>
        <w:topLinePunct w:val="0"/>
        <w:autoSpaceDE/>
        <w:autoSpaceDN/>
        <w:bidi w:val="0"/>
        <w:adjustRightInd/>
        <w:spacing w:line="458" w:lineRule="exact"/>
        <w:textAlignment w:val="auto"/>
        <w:rPr>
          <w:rFonts w:hint="eastAsia"/>
        </w:rPr>
      </w:pPr>
      <w:r>
        <w:rPr>
          <w:rFonts w:hint="eastAsia"/>
        </w:rPr>
        <w:t>4.2  应急处置</w:t>
      </w:r>
    </w:p>
    <w:p>
      <w:pPr>
        <w:keepNext w:val="0"/>
        <w:keepLines w:val="0"/>
        <w:pageBreakBefore w:val="0"/>
        <w:widowControl w:val="0"/>
        <w:kinsoku/>
        <w:wordWrap/>
        <w:overflowPunct/>
        <w:topLinePunct w:val="0"/>
        <w:autoSpaceDE/>
        <w:autoSpaceDN/>
        <w:bidi w:val="0"/>
        <w:adjustRightInd/>
        <w:snapToGrid/>
        <w:spacing w:line="458" w:lineRule="exact"/>
        <w:textAlignment w:val="auto"/>
        <w:rPr>
          <w:rFonts w:hint="eastAsia" w:ascii="仿宋_GB2312" w:eastAsia="仿宋_GB2312"/>
          <w:sz w:val="24"/>
          <w:szCs w:val="24"/>
        </w:rPr>
      </w:pPr>
      <w:r>
        <w:rPr>
          <w:rFonts w:hint="eastAsia" w:ascii="仿宋_GB2312" w:eastAsia="仿宋_GB2312"/>
          <w:sz w:val="24"/>
          <w:szCs w:val="24"/>
        </w:rPr>
        <w:t>4.2.1  快速出警</w:t>
      </w:r>
    </w:p>
    <w:p>
      <w:pPr>
        <w:keepNext w:val="0"/>
        <w:keepLines w:val="0"/>
        <w:pageBreakBefore w:val="0"/>
        <w:widowControl w:val="0"/>
        <w:kinsoku/>
        <w:wordWrap/>
        <w:overflowPunct/>
        <w:topLinePunct w:val="0"/>
        <w:autoSpaceDE/>
        <w:autoSpaceDN/>
        <w:bidi w:val="0"/>
        <w:adjustRightInd/>
        <w:snapToGrid/>
        <w:spacing w:line="458" w:lineRule="exact"/>
        <w:textAlignment w:val="auto"/>
        <w:rPr>
          <w:rFonts w:hint="eastAsia" w:ascii="仿宋_GB2312" w:eastAsia="仿宋_GB2312"/>
          <w:sz w:val="24"/>
          <w:szCs w:val="24"/>
        </w:rPr>
      </w:pPr>
      <w:r>
        <w:rPr>
          <w:rFonts w:hint="eastAsia" w:ascii="仿宋_GB2312" w:eastAsia="仿宋_GB2312"/>
          <w:sz w:val="24"/>
          <w:szCs w:val="24"/>
        </w:rPr>
        <w:t>接到集中式饮用水水源地突发环境事件报告后，由乡（镇、街道）现场指挥部指令乡（镇、街道）现场应急工作小组携带环境事件专用防护、医疗、救援、交通等设备，在最短时间内赶赴现场，启动应急处置预案。</w:t>
      </w:r>
    </w:p>
    <w:p>
      <w:pPr>
        <w:keepNext w:val="0"/>
        <w:keepLines w:val="0"/>
        <w:pageBreakBefore w:val="0"/>
        <w:widowControl w:val="0"/>
        <w:kinsoku/>
        <w:wordWrap/>
        <w:overflowPunct/>
        <w:topLinePunct w:val="0"/>
        <w:autoSpaceDE/>
        <w:autoSpaceDN/>
        <w:bidi w:val="0"/>
        <w:adjustRightInd/>
        <w:snapToGrid/>
        <w:spacing w:line="458" w:lineRule="exact"/>
        <w:textAlignment w:val="auto"/>
        <w:rPr>
          <w:rFonts w:hint="eastAsia" w:ascii="仿宋_GB2312" w:eastAsia="仿宋_GB2312"/>
          <w:sz w:val="24"/>
          <w:szCs w:val="24"/>
        </w:rPr>
      </w:pPr>
      <w:r>
        <w:rPr>
          <w:rFonts w:hint="eastAsia" w:ascii="仿宋_GB2312" w:eastAsia="仿宋_GB2312"/>
          <w:sz w:val="24"/>
          <w:szCs w:val="24"/>
        </w:rPr>
        <w:t>4.2.2  现场控制</w:t>
      </w:r>
    </w:p>
    <w:p>
      <w:pPr>
        <w:keepNext w:val="0"/>
        <w:keepLines w:val="0"/>
        <w:pageBreakBefore w:val="0"/>
        <w:widowControl w:val="0"/>
        <w:kinsoku/>
        <w:wordWrap/>
        <w:overflowPunct/>
        <w:topLinePunct w:val="0"/>
        <w:autoSpaceDE/>
        <w:autoSpaceDN/>
        <w:bidi w:val="0"/>
        <w:adjustRightInd/>
        <w:snapToGrid/>
        <w:spacing w:line="458" w:lineRule="exact"/>
        <w:textAlignment w:val="auto"/>
        <w:rPr>
          <w:rFonts w:hint="eastAsia" w:ascii="仿宋_GB2312" w:eastAsia="仿宋_GB2312"/>
          <w:sz w:val="24"/>
          <w:szCs w:val="24"/>
        </w:rPr>
      </w:pPr>
      <w:r>
        <w:rPr>
          <w:rFonts w:hint="eastAsia" w:ascii="仿宋_GB2312" w:eastAsia="仿宋_GB2312"/>
          <w:sz w:val="24"/>
          <w:szCs w:val="24"/>
        </w:rPr>
        <w:t>乡（镇、街道）现场应急工作小组到达现场后，应根据各自职责在乡（镇、街道）现场指挥部的指挥下参与现场污染事件的控制和处理，尽可能减少污染物的产生，防止污染物扩散，并根据现场勘验情况，配合划定警戒线范围，禁止无关人员靠近。</w:t>
      </w:r>
    </w:p>
    <w:p>
      <w:pPr>
        <w:keepNext w:val="0"/>
        <w:keepLines w:val="0"/>
        <w:pageBreakBefore w:val="0"/>
        <w:widowControl w:val="0"/>
        <w:kinsoku/>
        <w:wordWrap/>
        <w:overflowPunct/>
        <w:topLinePunct w:val="0"/>
        <w:autoSpaceDE/>
        <w:autoSpaceDN/>
        <w:bidi w:val="0"/>
        <w:adjustRightInd/>
        <w:snapToGrid/>
        <w:spacing w:line="458" w:lineRule="exact"/>
        <w:textAlignment w:val="auto"/>
        <w:rPr>
          <w:rFonts w:hint="eastAsia" w:ascii="仿宋_GB2312" w:eastAsia="仿宋_GB2312"/>
          <w:sz w:val="24"/>
          <w:szCs w:val="24"/>
        </w:rPr>
      </w:pPr>
      <w:r>
        <w:rPr>
          <w:rFonts w:hint="eastAsia" w:ascii="仿宋_GB2312" w:eastAsia="仿宋_GB2312"/>
          <w:sz w:val="24"/>
          <w:szCs w:val="24"/>
        </w:rPr>
        <w:t>4.2.3  现场调查</w:t>
      </w:r>
    </w:p>
    <w:p>
      <w:pPr>
        <w:keepNext w:val="0"/>
        <w:keepLines w:val="0"/>
        <w:pageBreakBefore w:val="0"/>
        <w:widowControl w:val="0"/>
        <w:kinsoku/>
        <w:wordWrap/>
        <w:overflowPunct/>
        <w:topLinePunct w:val="0"/>
        <w:autoSpaceDE/>
        <w:autoSpaceDN/>
        <w:bidi w:val="0"/>
        <w:adjustRightInd/>
        <w:snapToGrid/>
        <w:spacing w:line="458" w:lineRule="exact"/>
        <w:textAlignment w:val="auto"/>
        <w:rPr>
          <w:rFonts w:hint="eastAsia" w:ascii="仿宋_GB2312" w:eastAsia="仿宋_GB2312"/>
          <w:sz w:val="24"/>
          <w:szCs w:val="24"/>
        </w:rPr>
      </w:pPr>
      <w:r>
        <w:rPr>
          <w:rFonts w:hint="eastAsia" w:ascii="仿宋_GB2312" w:eastAsia="仿宋_GB2312"/>
          <w:sz w:val="24"/>
          <w:szCs w:val="24"/>
        </w:rPr>
        <w:t>现场调查处理根据事件的类别、性质作具体处理。总体步骤如下：</w:t>
      </w:r>
    </w:p>
    <w:p>
      <w:pPr>
        <w:keepNext w:val="0"/>
        <w:keepLines w:val="0"/>
        <w:pageBreakBefore w:val="0"/>
        <w:widowControl w:val="0"/>
        <w:kinsoku/>
        <w:wordWrap/>
        <w:overflowPunct/>
        <w:topLinePunct w:val="0"/>
        <w:autoSpaceDE/>
        <w:autoSpaceDN/>
        <w:bidi w:val="0"/>
        <w:adjustRightInd/>
        <w:snapToGrid/>
        <w:spacing w:line="458" w:lineRule="exact"/>
        <w:textAlignment w:val="auto"/>
        <w:rPr>
          <w:rFonts w:hint="eastAsia" w:ascii="仿宋_GB2312" w:eastAsia="仿宋_GB2312"/>
          <w:sz w:val="24"/>
          <w:szCs w:val="24"/>
        </w:rPr>
      </w:pPr>
      <w:r>
        <w:rPr>
          <w:rFonts w:hint="eastAsia" w:ascii="仿宋_GB2312" w:eastAsia="仿宋_GB2312"/>
          <w:sz w:val="24"/>
          <w:szCs w:val="24"/>
        </w:rPr>
        <w:t>（1）到达现场后首先组织人员救治伤病员，如有必要进行隔离；</w:t>
      </w:r>
    </w:p>
    <w:p>
      <w:pPr>
        <w:keepNext w:val="0"/>
        <w:keepLines w:val="0"/>
        <w:pageBreakBefore w:val="0"/>
        <w:widowControl w:val="0"/>
        <w:kinsoku/>
        <w:wordWrap/>
        <w:overflowPunct/>
        <w:topLinePunct w:val="0"/>
        <w:autoSpaceDE/>
        <w:autoSpaceDN/>
        <w:bidi w:val="0"/>
        <w:adjustRightInd/>
        <w:snapToGrid/>
        <w:spacing w:line="458" w:lineRule="exact"/>
        <w:textAlignment w:val="auto"/>
        <w:rPr>
          <w:rFonts w:hint="eastAsia" w:ascii="仿宋_GB2312" w:eastAsia="仿宋_GB2312"/>
          <w:sz w:val="24"/>
          <w:szCs w:val="24"/>
        </w:rPr>
      </w:pPr>
      <w:r>
        <w:rPr>
          <w:rFonts w:hint="eastAsia" w:ascii="仿宋_GB2312" w:eastAsia="仿宋_GB2312"/>
          <w:sz w:val="24"/>
          <w:szCs w:val="24"/>
        </w:rPr>
        <w:t>（2）进一步了解事件的情况，包括污染发生的时间、地点、经过和可能原因、污染来源及可能污染物、污染途径及波及范围、污染暴露人群的数量及分布、当地人口分布、疾病的分布以及发生后当地处理情况；</w:t>
      </w:r>
    </w:p>
    <w:p>
      <w:pPr>
        <w:keepNext w:val="0"/>
        <w:keepLines w:val="0"/>
        <w:pageBreakBefore w:val="0"/>
        <w:widowControl w:val="0"/>
        <w:kinsoku/>
        <w:wordWrap/>
        <w:overflowPunct/>
        <w:topLinePunct w:val="0"/>
        <w:autoSpaceDE/>
        <w:autoSpaceDN/>
        <w:bidi w:val="0"/>
        <w:adjustRightInd/>
        <w:snapToGrid/>
        <w:spacing w:line="458" w:lineRule="exact"/>
        <w:textAlignment w:val="auto"/>
        <w:rPr>
          <w:rFonts w:hint="eastAsia" w:ascii="仿宋_GB2312" w:eastAsia="仿宋_GB2312"/>
          <w:sz w:val="24"/>
          <w:szCs w:val="24"/>
        </w:rPr>
      </w:pPr>
      <w:r>
        <w:rPr>
          <w:rFonts w:hint="eastAsia" w:ascii="仿宋_GB2312" w:eastAsia="仿宋_GB2312"/>
          <w:sz w:val="24"/>
          <w:szCs w:val="24"/>
        </w:rPr>
        <w:t>（3）根据污染来源的情况，形成初步调查意见，确定污染种类；</w:t>
      </w:r>
    </w:p>
    <w:p>
      <w:pPr>
        <w:keepNext w:val="0"/>
        <w:keepLines w:val="0"/>
        <w:pageBreakBefore w:val="0"/>
        <w:widowControl w:val="0"/>
        <w:kinsoku/>
        <w:wordWrap/>
        <w:overflowPunct/>
        <w:topLinePunct w:val="0"/>
        <w:autoSpaceDE/>
        <w:autoSpaceDN/>
        <w:bidi w:val="0"/>
        <w:adjustRightInd/>
        <w:snapToGrid/>
        <w:spacing w:line="458" w:lineRule="exact"/>
        <w:textAlignment w:val="auto"/>
        <w:rPr>
          <w:rFonts w:hint="eastAsia" w:ascii="仿宋_GB2312" w:eastAsia="仿宋_GB2312"/>
          <w:sz w:val="24"/>
          <w:szCs w:val="24"/>
        </w:rPr>
      </w:pPr>
      <w:r>
        <w:rPr>
          <w:rFonts w:hint="eastAsia" w:ascii="仿宋_GB2312" w:eastAsia="仿宋_GB2312"/>
          <w:sz w:val="24"/>
          <w:szCs w:val="24"/>
        </w:rPr>
        <w:t>（4）开展现场调查工作。包括污染源调查、环境监测、环境监察。通过照相、摄像、录音，做好监督文书有关记录；</w:t>
      </w:r>
    </w:p>
    <w:p>
      <w:pPr>
        <w:keepNext w:val="0"/>
        <w:keepLines w:val="0"/>
        <w:pageBreakBefore w:val="0"/>
        <w:widowControl w:val="0"/>
        <w:kinsoku/>
        <w:wordWrap/>
        <w:overflowPunct/>
        <w:topLinePunct w:val="0"/>
        <w:autoSpaceDE/>
        <w:autoSpaceDN/>
        <w:bidi w:val="0"/>
        <w:adjustRightInd/>
        <w:snapToGrid/>
        <w:spacing w:line="458" w:lineRule="exact"/>
        <w:textAlignment w:val="auto"/>
        <w:rPr>
          <w:rFonts w:hint="eastAsia" w:ascii="仿宋_GB2312" w:eastAsia="仿宋_GB2312"/>
          <w:sz w:val="24"/>
          <w:szCs w:val="24"/>
        </w:rPr>
      </w:pPr>
      <w:r>
        <w:rPr>
          <w:rFonts w:hint="eastAsia" w:ascii="仿宋_GB2312" w:eastAsia="仿宋_GB2312"/>
          <w:sz w:val="24"/>
          <w:szCs w:val="24"/>
        </w:rPr>
        <w:t>（5）提出调查分析结论和处置方案。</w:t>
      </w:r>
    </w:p>
    <w:p>
      <w:pPr>
        <w:pStyle w:val="5"/>
        <w:pageBreakBefore w:val="0"/>
        <w:widowControl w:val="0"/>
        <w:kinsoku/>
        <w:wordWrap/>
        <w:overflowPunct/>
        <w:topLinePunct w:val="0"/>
        <w:autoSpaceDE/>
        <w:autoSpaceDN/>
        <w:bidi w:val="0"/>
        <w:adjustRightInd/>
        <w:spacing w:line="458" w:lineRule="exact"/>
        <w:textAlignment w:val="auto"/>
        <w:rPr>
          <w:rFonts w:hint="eastAsia"/>
        </w:rPr>
      </w:pPr>
      <w:r>
        <w:rPr>
          <w:rFonts w:hint="eastAsia"/>
        </w:rPr>
        <w:t>4.3  应急终止</w:t>
      </w:r>
    </w:p>
    <w:p>
      <w:pPr>
        <w:keepNext w:val="0"/>
        <w:keepLines w:val="0"/>
        <w:pageBreakBefore w:val="0"/>
        <w:widowControl w:val="0"/>
        <w:kinsoku/>
        <w:wordWrap/>
        <w:overflowPunct/>
        <w:topLinePunct w:val="0"/>
        <w:autoSpaceDE/>
        <w:autoSpaceDN/>
        <w:bidi w:val="0"/>
        <w:adjustRightInd/>
        <w:snapToGrid/>
        <w:spacing w:line="474" w:lineRule="exact"/>
        <w:textAlignment w:val="auto"/>
        <w:rPr>
          <w:rFonts w:hint="eastAsia" w:ascii="仿宋_GB2312" w:eastAsia="仿宋_GB2312"/>
          <w:sz w:val="24"/>
          <w:szCs w:val="24"/>
        </w:rPr>
      </w:pPr>
      <w:r>
        <w:rPr>
          <w:rFonts w:hint="eastAsia" w:ascii="仿宋_GB2312" w:eastAsia="仿宋_GB2312"/>
          <w:sz w:val="24"/>
          <w:szCs w:val="24"/>
        </w:rPr>
        <w:t>当集中式饮用水水源地突发环境事件状况满足下列条件，即可终止应急程序：集中式饮用水水源地突发环境事件现场得到控制，污染已经消除；污染源的泄漏或释放已降至规定限值以内，所造成的危害已彻底消除，无继发可能；各种专业应急处置行动已无继续的必要。</w:t>
      </w:r>
    </w:p>
    <w:p>
      <w:pPr>
        <w:pStyle w:val="4"/>
        <w:pageBreakBefore w:val="0"/>
        <w:widowControl w:val="0"/>
        <w:kinsoku/>
        <w:wordWrap/>
        <w:overflowPunct/>
        <w:topLinePunct w:val="0"/>
        <w:autoSpaceDE/>
        <w:autoSpaceDN/>
        <w:bidi w:val="0"/>
        <w:adjustRightInd/>
        <w:spacing w:line="474" w:lineRule="exact"/>
        <w:textAlignment w:val="auto"/>
        <w:rPr>
          <w:rFonts w:hint="eastAsia"/>
        </w:rPr>
      </w:pPr>
      <w:r>
        <w:rPr>
          <w:rFonts w:hint="eastAsia"/>
        </w:rPr>
        <w:t>5  后期处置</w:t>
      </w:r>
    </w:p>
    <w:p>
      <w:pPr>
        <w:pStyle w:val="5"/>
        <w:pageBreakBefore w:val="0"/>
        <w:widowControl w:val="0"/>
        <w:kinsoku/>
        <w:wordWrap/>
        <w:overflowPunct/>
        <w:topLinePunct w:val="0"/>
        <w:autoSpaceDE/>
        <w:autoSpaceDN/>
        <w:bidi w:val="0"/>
        <w:adjustRightInd/>
        <w:spacing w:line="474" w:lineRule="exact"/>
        <w:textAlignment w:val="auto"/>
        <w:rPr>
          <w:rFonts w:hint="eastAsia"/>
        </w:rPr>
      </w:pPr>
      <w:r>
        <w:rPr>
          <w:rFonts w:hint="eastAsia"/>
        </w:rPr>
        <w:t>5.1  后期防控</w:t>
      </w:r>
    </w:p>
    <w:p>
      <w:pPr>
        <w:keepNext w:val="0"/>
        <w:keepLines w:val="0"/>
        <w:pageBreakBefore w:val="0"/>
        <w:widowControl w:val="0"/>
        <w:kinsoku/>
        <w:wordWrap/>
        <w:overflowPunct/>
        <w:topLinePunct w:val="0"/>
        <w:autoSpaceDE/>
        <w:autoSpaceDN/>
        <w:bidi w:val="0"/>
        <w:adjustRightInd/>
        <w:snapToGrid/>
        <w:spacing w:line="474" w:lineRule="exact"/>
        <w:textAlignment w:val="auto"/>
        <w:rPr>
          <w:rFonts w:hint="eastAsia" w:ascii="仿宋_GB2312" w:eastAsia="仿宋_GB2312"/>
          <w:sz w:val="24"/>
          <w:szCs w:val="24"/>
        </w:rPr>
      </w:pPr>
      <w:r>
        <w:rPr>
          <w:rFonts w:hint="eastAsia" w:ascii="仿宋_GB2312" w:eastAsia="仿宋_GB2312"/>
          <w:sz w:val="24"/>
          <w:szCs w:val="24"/>
        </w:rPr>
        <w:t>响应终止后，由乡（镇、街道）现场指挥部、乡（镇、街道）现场应急工作小组配合原平市水源应急指挥部负责针对泄漏的油品、化学品进行回收；组织进行后期污染监测和治理，消除投放药剂的残留毒性和后期效应，防止次生突发环境事件的发生；在事故场地及蔓延区域的污染物清理后，对其土壤或水生态系统进行修复；部分污染物导流到饮用水水源地下游或其它区域，对这些区域的污染物进行清除。</w:t>
      </w:r>
    </w:p>
    <w:p>
      <w:pPr>
        <w:pStyle w:val="5"/>
        <w:pageBreakBefore w:val="0"/>
        <w:widowControl w:val="0"/>
        <w:kinsoku/>
        <w:wordWrap/>
        <w:overflowPunct/>
        <w:topLinePunct w:val="0"/>
        <w:autoSpaceDE/>
        <w:autoSpaceDN/>
        <w:bidi w:val="0"/>
        <w:adjustRightInd/>
        <w:spacing w:line="474" w:lineRule="exact"/>
        <w:textAlignment w:val="auto"/>
        <w:rPr>
          <w:rFonts w:hint="eastAsia"/>
        </w:rPr>
      </w:pPr>
      <w:r>
        <w:rPr>
          <w:rFonts w:hint="eastAsia"/>
        </w:rPr>
        <w:t>5.2  损害评估</w:t>
      </w:r>
    </w:p>
    <w:p>
      <w:pPr>
        <w:keepNext w:val="0"/>
        <w:keepLines w:val="0"/>
        <w:pageBreakBefore w:val="0"/>
        <w:widowControl w:val="0"/>
        <w:kinsoku/>
        <w:wordWrap/>
        <w:overflowPunct/>
        <w:topLinePunct w:val="0"/>
        <w:autoSpaceDE/>
        <w:autoSpaceDN/>
        <w:bidi w:val="0"/>
        <w:adjustRightInd/>
        <w:snapToGrid/>
        <w:spacing w:line="474" w:lineRule="exact"/>
        <w:textAlignment w:val="auto"/>
        <w:rPr>
          <w:rFonts w:hint="eastAsia" w:ascii="仿宋_GB2312" w:eastAsia="仿宋_GB2312"/>
          <w:sz w:val="24"/>
          <w:szCs w:val="24"/>
        </w:rPr>
      </w:pPr>
      <w:r>
        <w:rPr>
          <w:rFonts w:hint="eastAsia" w:ascii="仿宋_GB2312" w:eastAsia="仿宋_GB2312"/>
          <w:sz w:val="24"/>
          <w:szCs w:val="24"/>
        </w:rPr>
        <w:t>当发生Ⅰ级响应的集中式饮用水水源地突发环境事件时，由市政府组建损害评估组，由忻州市生态环境局原平分局、各乡（镇、街道）或是委托第三方评估机构进行评估，形成书面报告。</w:t>
      </w:r>
    </w:p>
    <w:p>
      <w:pPr>
        <w:keepNext w:val="0"/>
        <w:keepLines w:val="0"/>
        <w:pageBreakBefore w:val="0"/>
        <w:widowControl w:val="0"/>
        <w:kinsoku/>
        <w:wordWrap/>
        <w:overflowPunct/>
        <w:topLinePunct w:val="0"/>
        <w:autoSpaceDE/>
        <w:autoSpaceDN/>
        <w:bidi w:val="0"/>
        <w:adjustRightInd/>
        <w:snapToGrid/>
        <w:spacing w:line="474" w:lineRule="exact"/>
        <w:textAlignment w:val="auto"/>
        <w:rPr>
          <w:rFonts w:hint="eastAsia" w:ascii="仿宋_GB2312" w:eastAsia="仿宋_GB2312"/>
          <w:sz w:val="24"/>
          <w:szCs w:val="24"/>
        </w:rPr>
      </w:pPr>
      <w:r>
        <w:rPr>
          <w:rFonts w:hint="eastAsia" w:ascii="仿宋_GB2312" w:eastAsia="仿宋_GB2312"/>
          <w:sz w:val="24"/>
          <w:szCs w:val="24"/>
        </w:rPr>
        <w:t>当发生Ⅱ级响应的集中式饮用水水源地突发环境事件时，由乡（镇、街道）现场指挥部综合办公室负责组织乡（镇、街道）应急工作小组进行突发环境事件的损害调查与评估，形成书面报告，上报市政府。</w:t>
      </w:r>
    </w:p>
    <w:p>
      <w:pPr>
        <w:keepNext w:val="0"/>
        <w:keepLines w:val="0"/>
        <w:pageBreakBefore w:val="0"/>
        <w:widowControl w:val="0"/>
        <w:kinsoku/>
        <w:wordWrap/>
        <w:overflowPunct/>
        <w:topLinePunct w:val="0"/>
        <w:autoSpaceDE/>
        <w:autoSpaceDN/>
        <w:bidi w:val="0"/>
        <w:adjustRightInd/>
        <w:snapToGrid/>
        <w:spacing w:line="474" w:lineRule="exact"/>
        <w:textAlignment w:val="auto"/>
        <w:rPr>
          <w:rFonts w:hint="eastAsia" w:ascii="仿宋_GB2312" w:eastAsia="仿宋_GB2312"/>
          <w:sz w:val="24"/>
          <w:szCs w:val="24"/>
        </w:rPr>
      </w:pPr>
      <w:r>
        <w:rPr>
          <w:rFonts w:hint="eastAsia" w:ascii="仿宋_GB2312" w:eastAsia="仿宋_GB2312"/>
          <w:sz w:val="24"/>
          <w:szCs w:val="24"/>
        </w:rPr>
        <w:t>损害评估采用与突发环境事件类型相适应的方法评估损害，损害大小可通过经济损失、影响人数、生态环境破坏程度、导致水源取水中断天数等定量指标来评价。</w:t>
      </w:r>
    </w:p>
    <w:p>
      <w:pPr>
        <w:pStyle w:val="5"/>
        <w:pageBreakBefore w:val="0"/>
        <w:widowControl w:val="0"/>
        <w:kinsoku/>
        <w:wordWrap/>
        <w:overflowPunct/>
        <w:topLinePunct w:val="0"/>
        <w:autoSpaceDE/>
        <w:autoSpaceDN/>
        <w:bidi w:val="0"/>
        <w:adjustRightInd/>
        <w:spacing w:line="474" w:lineRule="exact"/>
        <w:textAlignment w:val="auto"/>
        <w:rPr>
          <w:rFonts w:hint="eastAsia"/>
        </w:rPr>
      </w:pPr>
      <w:r>
        <w:rPr>
          <w:rFonts w:hint="eastAsia"/>
        </w:rPr>
        <w:t>5.3  善后处置</w:t>
      </w:r>
    </w:p>
    <w:p>
      <w:pPr>
        <w:keepNext w:val="0"/>
        <w:keepLines w:val="0"/>
        <w:pageBreakBefore w:val="0"/>
        <w:widowControl w:val="0"/>
        <w:kinsoku/>
        <w:wordWrap/>
        <w:overflowPunct/>
        <w:topLinePunct w:val="0"/>
        <w:autoSpaceDE/>
        <w:autoSpaceDN/>
        <w:bidi w:val="0"/>
        <w:adjustRightInd/>
        <w:snapToGrid/>
        <w:spacing w:line="474" w:lineRule="exact"/>
        <w:textAlignment w:val="auto"/>
        <w:rPr>
          <w:rFonts w:hint="eastAsia" w:ascii="仿宋_GB2312" w:eastAsia="仿宋_GB2312"/>
          <w:sz w:val="24"/>
          <w:szCs w:val="24"/>
        </w:rPr>
      </w:pPr>
      <w:r>
        <w:rPr>
          <w:rFonts w:hint="eastAsia" w:ascii="仿宋_GB2312" w:eastAsia="仿宋_GB2312"/>
          <w:sz w:val="24"/>
          <w:szCs w:val="24"/>
        </w:rPr>
        <w:t>Ⅰ级响应的集中式饮用水水源地突发环境事件，由市政府组织相关应急部门编制集中式饮用水水源地突发环境事件总结报告，于应急终止后15天内上报原平市水源应急指挥部。</w:t>
      </w:r>
    </w:p>
    <w:p>
      <w:pPr>
        <w:keepNext w:val="0"/>
        <w:keepLines w:val="0"/>
        <w:pageBreakBefore w:val="0"/>
        <w:widowControl w:val="0"/>
        <w:kinsoku/>
        <w:wordWrap/>
        <w:overflowPunct/>
        <w:topLinePunct w:val="0"/>
        <w:autoSpaceDE/>
        <w:autoSpaceDN/>
        <w:bidi w:val="0"/>
        <w:adjustRightInd/>
        <w:snapToGrid/>
        <w:spacing w:line="474" w:lineRule="exact"/>
        <w:textAlignment w:val="auto"/>
        <w:rPr>
          <w:rFonts w:hint="eastAsia" w:ascii="仿宋_GB2312" w:eastAsia="仿宋_GB2312"/>
          <w:sz w:val="24"/>
          <w:szCs w:val="24"/>
        </w:rPr>
      </w:pPr>
      <w:r>
        <w:rPr>
          <w:rFonts w:hint="eastAsia" w:ascii="仿宋_GB2312" w:eastAsia="仿宋_GB2312"/>
          <w:sz w:val="24"/>
          <w:szCs w:val="24"/>
        </w:rPr>
        <w:t>Ⅱ级响应的集中式饮用水水源地突发环境事件，由各乡（镇、街道）现场指挥部及其综合办公室编制集中式饮用水水源地突发环境事件总结报告，于应急终止后15天内上报原平市水源应急指挥部，并抄报其他有关部门。</w:t>
      </w:r>
    </w:p>
    <w:p>
      <w:pPr>
        <w:keepNext w:val="0"/>
        <w:keepLines w:val="0"/>
        <w:pageBreakBefore w:val="0"/>
        <w:widowControl w:val="0"/>
        <w:kinsoku/>
        <w:wordWrap/>
        <w:overflowPunct/>
        <w:topLinePunct w:val="0"/>
        <w:autoSpaceDE/>
        <w:autoSpaceDN/>
        <w:bidi w:val="0"/>
        <w:adjustRightInd/>
        <w:snapToGrid/>
        <w:spacing w:line="474" w:lineRule="exact"/>
        <w:textAlignment w:val="auto"/>
        <w:rPr>
          <w:rFonts w:hint="eastAsia" w:ascii="仿宋_GB2312" w:eastAsia="仿宋_GB2312"/>
          <w:sz w:val="24"/>
          <w:szCs w:val="24"/>
        </w:rPr>
      </w:pPr>
      <w:r>
        <w:rPr>
          <w:rFonts w:hint="eastAsia" w:ascii="仿宋_GB2312" w:eastAsia="仿宋_GB2312"/>
          <w:sz w:val="24"/>
          <w:szCs w:val="24"/>
        </w:rPr>
        <w:t>集中式饮用水水源地突发环境事件，由原平市水源应急指挥部组织乡（镇、街道）进行善后处置。善后处置工作内容，包括损害赔偿、风险源整改和污染场地修复等，落实到责任单位。如根据前面事件调查明确的突发环境事件责任人，由其进行赔偿，并按照损害评估的损害大小确定赔偿金额和方式；对于因建筑设计、工艺流程不规范，泄漏污染物堆放或处置不当等方面原因引发的事故，应对相应的设计及操作流程进行整改。</w:t>
      </w:r>
    </w:p>
    <w:p>
      <w:pPr>
        <w:pStyle w:val="4"/>
        <w:pageBreakBefore w:val="0"/>
        <w:widowControl w:val="0"/>
        <w:kinsoku/>
        <w:wordWrap/>
        <w:overflowPunct/>
        <w:topLinePunct w:val="0"/>
        <w:autoSpaceDE/>
        <w:autoSpaceDN/>
        <w:bidi w:val="0"/>
        <w:adjustRightInd/>
        <w:spacing w:line="474" w:lineRule="exact"/>
        <w:textAlignment w:val="auto"/>
        <w:rPr>
          <w:rFonts w:hint="eastAsia"/>
        </w:rPr>
      </w:pPr>
      <w:r>
        <w:rPr>
          <w:rFonts w:hint="eastAsia"/>
        </w:rPr>
        <w:t>6  保障措施</w:t>
      </w:r>
    </w:p>
    <w:p>
      <w:pPr>
        <w:keepNext w:val="0"/>
        <w:keepLines w:val="0"/>
        <w:pageBreakBefore w:val="0"/>
        <w:widowControl w:val="0"/>
        <w:kinsoku/>
        <w:wordWrap/>
        <w:overflowPunct/>
        <w:topLinePunct w:val="0"/>
        <w:autoSpaceDE/>
        <w:autoSpaceDN/>
        <w:bidi w:val="0"/>
        <w:adjustRightInd/>
        <w:snapToGrid/>
        <w:spacing w:line="474" w:lineRule="exact"/>
        <w:textAlignment w:val="auto"/>
        <w:rPr>
          <w:rFonts w:hint="eastAsia" w:ascii="仿宋_GB2312" w:eastAsia="仿宋_GB2312"/>
          <w:sz w:val="24"/>
          <w:szCs w:val="24"/>
        </w:rPr>
      </w:pPr>
      <w:r>
        <w:rPr>
          <w:rFonts w:hint="eastAsia" w:ascii="仿宋_GB2312" w:eastAsia="仿宋_GB2312"/>
          <w:sz w:val="24"/>
          <w:szCs w:val="24"/>
        </w:rPr>
        <w:t>应急保障包括队伍保障、人员保障、财力保障、装备保障、通讯与信息保障、医疗卫生保障、交通运输保障、人员安全保障、治安保障、技术保障等项目。</w:t>
      </w:r>
    </w:p>
    <w:p>
      <w:pPr>
        <w:keepNext w:val="0"/>
        <w:keepLines w:val="0"/>
        <w:pageBreakBefore w:val="0"/>
        <w:widowControl w:val="0"/>
        <w:kinsoku/>
        <w:wordWrap/>
        <w:overflowPunct/>
        <w:topLinePunct w:val="0"/>
        <w:autoSpaceDE/>
        <w:autoSpaceDN/>
        <w:bidi w:val="0"/>
        <w:adjustRightInd/>
        <w:snapToGrid/>
        <w:spacing w:line="474" w:lineRule="exact"/>
        <w:textAlignment w:val="auto"/>
        <w:rPr>
          <w:rFonts w:hint="eastAsia" w:ascii="仿宋_GB2312" w:eastAsia="仿宋_GB2312"/>
          <w:sz w:val="24"/>
          <w:szCs w:val="24"/>
        </w:rPr>
      </w:pPr>
      <w:r>
        <w:rPr>
          <w:rFonts w:hint="eastAsia" w:ascii="黑体" w:hAnsi="黑体" w:eastAsia="黑体" w:cstheme="minorBidi"/>
          <w:kern w:val="2"/>
          <w:sz w:val="26"/>
          <w:szCs w:val="24"/>
          <w:lang w:val="en-US" w:eastAsia="zh-CN" w:bidi="ar-SA"/>
        </w:rPr>
        <w:t>7  应急演练与宣传教育</w:t>
      </w:r>
    </w:p>
    <w:p>
      <w:pPr>
        <w:pStyle w:val="5"/>
        <w:pageBreakBefore w:val="0"/>
        <w:widowControl w:val="0"/>
        <w:kinsoku/>
        <w:wordWrap/>
        <w:overflowPunct/>
        <w:topLinePunct w:val="0"/>
        <w:autoSpaceDE/>
        <w:autoSpaceDN/>
        <w:bidi w:val="0"/>
        <w:adjustRightInd/>
        <w:spacing w:line="474" w:lineRule="exact"/>
        <w:textAlignment w:val="auto"/>
        <w:rPr>
          <w:rFonts w:hint="eastAsia"/>
        </w:rPr>
      </w:pPr>
      <w:r>
        <w:rPr>
          <w:rFonts w:hint="eastAsia"/>
        </w:rPr>
        <w:t>7.1  应急演练</w:t>
      </w:r>
    </w:p>
    <w:p>
      <w:pPr>
        <w:keepNext w:val="0"/>
        <w:keepLines w:val="0"/>
        <w:pageBreakBefore w:val="0"/>
        <w:widowControl w:val="0"/>
        <w:kinsoku/>
        <w:wordWrap/>
        <w:overflowPunct/>
        <w:topLinePunct w:val="0"/>
        <w:autoSpaceDE/>
        <w:autoSpaceDN/>
        <w:bidi w:val="0"/>
        <w:adjustRightInd/>
        <w:snapToGrid/>
        <w:spacing w:line="474" w:lineRule="exact"/>
        <w:textAlignment w:val="auto"/>
        <w:rPr>
          <w:rFonts w:hint="eastAsia" w:ascii="仿宋_GB2312" w:eastAsia="仿宋_GB2312"/>
          <w:sz w:val="24"/>
          <w:szCs w:val="24"/>
        </w:rPr>
      </w:pPr>
      <w:r>
        <w:rPr>
          <w:rFonts w:hint="eastAsia" w:ascii="仿宋_GB2312" w:eastAsia="仿宋_GB2312"/>
          <w:sz w:val="24"/>
          <w:szCs w:val="24"/>
        </w:rPr>
        <w:t>原平市水源应急指挥部应根据各乡（镇、街道）实际，按照国务院《中华人民共和国突发事件应对法》的要求，结合应急预案，定期开展集中式饮用水水源地突发环境事件应急处置演练。</w:t>
      </w:r>
    </w:p>
    <w:p>
      <w:pPr>
        <w:keepNext w:val="0"/>
        <w:keepLines w:val="0"/>
        <w:pageBreakBefore w:val="0"/>
        <w:widowControl w:val="0"/>
        <w:kinsoku/>
        <w:wordWrap/>
        <w:overflowPunct/>
        <w:topLinePunct w:val="0"/>
        <w:autoSpaceDE/>
        <w:autoSpaceDN/>
        <w:bidi w:val="0"/>
        <w:adjustRightInd/>
        <w:snapToGrid/>
        <w:spacing w:line="474" w:lineRule="exact"/>
        <w:textAlignment w:val="auto"/>
        <w:rPr>
          <w:rFonts w:hint="eastAsia" w:ascii="仿宋_GB2312" w:eastAsia="仿宋_GB2312"/>
          <w:sz w:val="24"/>
          <w:szCs w:val="24"/>
        </w:rPr>
      </w:pPr>
      <w:r>
        <w:rPr>
          <w:rFonts w:hint="eastAsia" w:ascii="仿宋_GB2312" w:eastAsia="仿宋_GB2312"/>
          <w:sz w:val="24"/>
          <w:szCs w:val="24"/>
        </w:rPr>
        <w:t>（1）乡（镇、街道）现场指挥部及其综合办公室应对本乡（镇、街道）集中式饮用水水源地基本情况，包括水源分布，供水范围及能力，水源地周围环境和污染源概况有充分的了解，了解水源地周围存在的、可能发生的环境风险源；</w:t>
      </w:r>
    </w:p>
    <w:p>
      <w:pPr>
        <w:keepNext w:val="0"/>
        <w:keepLines w:val="0"/>
        <w:pageBreakBefore w:val="0"/>
        <w:widowControl w:val="0"/>
        <w:kinsoku/>
        <w:wordWrap/>
        <w:overflowPunct/>
        <w:topLinePunct w:val="0"/>
        <w:autoSpaceDE/>
        <w:autoSpaceDN/>
        <w:bidi w:val="0"/>
        <w:adjustRightInd/>
        <w:snapToGrid/>
        <w:spacing w:line="474" w:lineRule="exact"/>
        <w:textAlignment w:val="auto"/>
        <w:rPr>
          <w:rFonts w:hint="eastAsia" w:ascii="仿宋_GB2312" w:eastAsia="仿宋_GB2312"/>
          <w:sz w:val="24"/>
          <w:szCs w:val="24"/>
        </w:rPr>
      </w:pPr>
      <w:r>
        <w:rPr>
          <w:rFonts w:hint="eastAsia" w:ascii="仿宋_GB2312" w:eastAsia="仿宋_GB2312"/>
          <w:sz w:val="24"/>
          <w:szCs w:val="24"/>
        </w:rPr>
        <w:t>（2）救助知识培训：定时组织人员进行有关安全、抗灾救助知识的培训，邀请有关技术专家前来讲解。通过知识培训，使应急人员能够做到迅速、及时地处理事件现场，把损失减少到最低限度；</w:t>
      </w:r>
    </w:p>
    <w:p>
      <w:pPr>
        <w:keepNext w:val="0"/>
        <w:keepLines w:val="0"/>
        <w:pageBreakBefore w:val="0"/>
        <w:widowControl w:val="0"/>
        <w:kinsoku/>
        <w:wordWrap/>
        <w:overflowPunct/>
        <w:topLinePunct w:val="0"/>
        <w:autoSpaceDE/>
        <w:autoSpaceDN/>
        <w:bidi w:val="0"/>
        <w:adjustRightInd/>
        <w:snapToGrid/>
        <w:spacing w:line="474" w:lineRule="exact"/>
        <w:textAlignment w:val="auto"/>
        <w:rPr>
          <w:rFonts w:hint="eastAsia" w:ascii="仿宋_GB2312" w:eastAsia="仿宋_GB2312"/>
          <w:sz w:val="24"/>
          <w:szCs w:val="24"/>
        </w:rPr>
      </w:pPr>
      <w:r>
        <w:rPr>
          <w:rFonts w:hint="eastAsia" w:ascii="仿宋_GB2312" w:eastAsia="仿宋_GB2312"/>
          <w:sz w:val="24"/>
          <w:szCs w:val="24"/>
        </w:rPr>
        <w:t>（3）器材使用和维护技术培训：对各类器材的使用，组织人员培训、演练，教会使用抢险器材；</w:t>
      </w:r>
    </w:p>
    <w:p>
      <w:pPr>
        <w:keepNext w:val="0"/>
        <w:keepLines w:val="0"/>
        <w:pageBreakBefore w:val="0"/>
        <w:widowControl w:val="0"/>
        <w:kinsoku/>
        <w:wordWrap/>
        <w:overflowPunct/>
        <w:topLinePunct w:val="0"/>
        <w:autoSpaceDE/>
        <w:autoSpaceDN/>
        <w:bidi w:val="0"/>
        <w:adjustRightInd/>
        <w:snapToGrid/>
        <w:spacing w:line="474" w:lineRule="exact"/>
        <w:textAlignment w:val="auto"/>
        <w:rPr>
          <w:rFonts w:hint="eastAsia" w:ascii="仿宋_GB2312" w:eastAsia="仿宋_GB2312"/>
          <w:sz w:val="24"/>
          <w:szCs w:val="24"/>
        </w:rPr>
      </w:pPr>
      <w:r>
        <w:rPr>
          <w:rFonts w:hint="eastAsia" w:ascii="仿宋_GB2312" w:eastAsia="仿宋_GB2312"/>
          <w:sz w:val="24"/>
          <w:szCs w:val="24"/>
        </w:rPr>
        <w:t>各成员单位应积极参与演练，演练结束后应及时进行总结。</w:t>
      </w:r>
    </w:p>
    <w:p>
      <w:pPr>
        <w:pStyle w:val="5"/>
        <w:pageBreakBefore w:val="0"/>
        <w:widowControl w:val="0"/>
        <w:kinsoku/>
        <w:wordWrap/>
        <w:overflowPunct/>
        <w:topLinePunct w:val="0"/>
        <w:autoSpaceDE/>
        <w:autoSpaceDN/>
        <w:bidi w:val="0"/>
        <w:adjustRightInd/>
        <w:spacing w:line="474" w:lineRule="exact"/>
        <w:textAlignment w:val="auto"/>
        <w:rPr>
          <w:rFonts w:hint="eastAsia"/>
        </w:rPr>
      </w:pPr>
      <w:r>
        <w:rPr>
          <w:rFonts w:hint="eastAsia"/>
        </w:rPr>
        <w:t>7.2  宣传教育</w:t>
      </w:r>
    </w:p>
    <w:p>
      <w:pPr>
        <w:keepNext w:val="0"/>
        <w:keepLines w:val="0"/>
        <w:pageBreakBefore w:val="0"/>
        <w:widowControl w:val="0"/>
        <w:kinsoku/>
        <w:wordWrap/>
        <w:overflowPunct/>
        <w:topLinePunct w:val="0"/>
        <w:autoSpaceDE/>
        <w:autoSpaceDN/>
        <w:bidi w:val="0"/>
        <w:adjustRightInd/>
        <w:snapToGrid/>
        <w:spacing w:line="474" w:lineRule="exact"/>
        <w:textAlignment w:val="auto"/>
        <w:rPr>
          <w:rFonts w:hint="eastAsia" w:ascii="仿宋_GB2312" w:eastAsia="仿宋_GB2312"/>
          <w:sz w:val="24"/>
          <w:szCs w:val="24"/>
        </w:rPr>
      </w:pPr>
      <w:r>
        <w:rPr>
          <w:rFonts w:hint="eastAsia" w:ascii="仿宋_GB2312" w:eastAsia="仿宋_GB2312"/>
          <w:sz w:val="24"/>
          <w:szCs w:val="24"/>
        </w:rPr>
        <w:t>充分利用广播、电视、报纸、互联网、手册等多种形式广泛开展饮用水水源水质污染事件应急法律法规和预防、处理、自救、互救、减灾等常识，提高个人危机意识和应急心理准备，培养公众对饮用水水源地的爱护意识。</w:t>
      </w:r>
    </w:p>
    <w:p>
      <w:pPr>
        <w:pStyle w:val="4"/>
        <w:pageBreakBefore w:val="0"/>
        <w:widowControl w:val="0"/>
        <w:kinsoku/>
        <w:wordWrap/>
        <w:overflowPunct/>
        <w:topLinePunct w:val="0"/>
        <w:autoSpaceDE/>
        <w:autoSpaceDN/>
        <w:bidi w:val="0"/>
        <w:adjustRightInd/>
        <w:spacing w:line="474" w:lineRule="exact"/>
        <w:textAlignment w:val="auto"/>
        <w:rPr>
          <w:rFonts w:hint="eastAsia"/>
        </w:rPr>
      </w:pPr>
      <w:r>
        <w:rPr>
          <w:rFonts w:hint="eastAsia"/>
        </w:rPr>
        <w:t>8  预案管理与更新</w:t>
      </w:r>
    </w:p>
    <w:p>
      <w:pPr>
        <w:pStyle w:val="5"/>
        <w:pageBreakBefore w:val="0"/>
        <w:widowControl w:val="0"/>
        <w:kinsoku/>
        <w:wordWrap/>
        <w:overflowPunct/>
        <w:topLinePunct w:val="0"/>
        <w:autoSpaceDE/>
        <w:autoSpaceDN/>
        <w:bidi w:val="0"/>
        <w:adjustRightInd/>
        <w:spacing w:line="474" w:lineRule="exact"/>
        <w:textAlignment w:val="auto"/>
        <w:rPr>
          <w:rFonts w:hint="eastAsia"/>
        </w:rPr>
      </w:pPr>
      <w:r>
        <w:rPr>
          <w:rFonts w:hint="eastAsia"/>
        </w:rPr>
        <w:t>8.1  预案更新</w:t>
      </w:r>
    </w:p>
    <w:p>
      <w:pPr>
        <w:keepNext w:val="0"/>
        <w:keepLines w:val="0"/>
        <w:pageBreakBefore w:val="0"/>
        <w:widowControl w:val="0"/>
        <w:kinsoku/>
        <w:wordWrap/>
        <w:overflowPunct/>
        <w:topLinePunct w:val="0"/>
        <w:autoSpaceDE/>
        <w:autoSpaceDN/>
        <w:bidi w:val="0"/>
        <w:adjustRightInd/>
        <w:snapToGrid/>
        <w:spacing w:line="474" w:lineRule="exact"/>
        <w:textAlignment w:val="auto"/>
        <w:rPr>
          <w:rFonts w:hint="eastAsia" w:ascii="仿宋_GB2312" w:eastAsia="仿宋_GB2312"/>
          <w:sz w:val="24"/>
          <w:szCs w:val="24"/>
        </w:rPr>
      </w:pPr>
      <w:r>
        <w:rPr>
          <w:rFonts w:hint="eastAsia" w:ascii="仿宋_GB2312" w:eastAsia="仿宋_GB2312"/>
          <w:sz w:val="24"/>
          <w:szCs w:val="24"/>
        </w:rPr>
        <w:t>在出现以下变化时，应根据实际情况的变化，定期对应急预案进行修订。</w:t>
      </w:r>
    </w:p>
    <w:p>
      <w:pPr>
        <w:keepNext w:val="0"/>
        <w:keepLines w:val="0"/>
        <w:pageBreakBefore w:val="0"/>
        <w:widowControl w:val="0"/>
        <w:kinsoku/>
        <w:wordWrap/>
        <w:overflowPunct/>
        <w:topLinePunct w:val="0"/>
        <w:autoSpaceDE/>
        <w:autoSpaceDN/>
        <w:bidi w:val="0"/>
        <w:adjustRightInd/>
        <w:snapToGrid/>
        <w:spacing w:line="474" w:lineRule="exact"/>
        <w:textAlignment w:val="auto"/>
        <w:rPr>
          <w:rFonts w:hint="eastAsia" w:ascii="仿宋_GB2312" w:eastAsia="仿宋_GB2312"/>
          <w:sz w:val="24"/>
          <w:szCs w:val="24"/>
        </w:rPr>
      </w:pPr>
      <w:r>
        <w:rPr>
          <w:rFonts w:hint="eastAsia" w:ascii="仿宋_GB2312" w:eastAsia="仿宋_GB2312"/>
          <w:sz w:val="24"/>
          <w:szCs w:val="24"/>
        </w:rPr>
        <w:t>（1）环境应急预案依据的法律、法规、规章等发生变化的情况；</w:t>
      </w:r>
    </w:p>
    <w:p>
      <w:pPr>
        <w:keepNext w:val="0"/>
        <w:keepLines w:val="0"/>
        <w:pageBreakBefore w:val="0"/>
        <w:widowControl w:val="0"/>
        <w:kinsoku/>
        <w:wordWrap/>
        <w:overflowPunct/>
        <w:topLinePunct w:val="0"/>
        <w:autoSpaceDE/>
        <w:autoSpaceDN/>
        <w:bidi w:val="0"/>
        <w:adjustRightInd/>
        <w:snapToGrid/>
        <w:spacing w:line="474" w:lineRule="exact"/>
        <w:textAlignment w:val="auto"/>
        <w:rPr>
          <w:rFonts w:hint="eastAsia" w:ascii="仿宋_GB2312" w:eastAsia="仿宋_GB2312"/>
          <w:sz w:val="24"/>
          <w:szCs w:val="24"/>
        </w:rPr>
      </w:pPr>
      <w:r>
        <w:rPr>
          <w:rFonts w:hint="eastAsia" w:ascii="仿宋_GB2312" w:eastAsia="仿宋_GB2312"/>
          <w:sz w:val="24"/>
          <w:szCs w:val="24"/>
        </w:rPr>
        <w:t>（2）周围环境或环境敏感点发生变化的情况；</w:t>
      </w:r>
    </w:p>
    <w:p>
      <w:pPr>
        <w:keepNext w:val="0"/>
        <w:keepLines w:val="0"/>
        <w:pageBreakBefore w:val="0"/>
        <w:widowControl w:val="0"/>
        <w:kinsoku/>
        <w:wordWrap/>
        <w:overflowPunct/>
        <w:topLinePunct w:val="0"/>
        <w:autoSpaceDE/>
        <w:autoSpaceDN/>
        <w:bidi w:val="0"/>
        <w:adjustRightInd/>
        <w:snapToGrid/>
        <w:spacing w:line="474" w:lineRule="exact"/>
        <w:textAlignment w:val="auto"/>
        <w:rPr>
          <w:rFonts w:hint="eastAsia" w:ascii="仿宋_GB2312" w:eastAsia="仿宋_GB2312"/>
          <w:sz w:val="24"/>
          <w:szCs w:val="24"/>
        </w:rPr>
      </w:pPr>
      <w:r>
        <w:rPr>
          <w:rFonts w:hint="eastAsia" w:ascii="仿宋_GB2312" w:eastAsia="仿宋_GB2312"/>
          <w:sz w:val="24"/>
          <w:szCs w:val="24"/>
        </w:rPr>
        <w:t>（3）预案演习或事件应急处置中发现不符合项；</w:t>
      </w:r>
    </w:p>
    <w:p>
      <w:pPr>
        <w:keepNext w:val="0"/>
        <w:keepLines w:val="0"/>
        <w:pageBreakBefore w:val="0"/>
        <w:widowControl w:val="0"/>
        <w:kinsoku/>
        <w:wordWrap/>
        <w:overflowPunct/>
        <w:topLinePunct w:val="0"/>
        <w:autoSpaceDE/>
        <w:autoSpaceDN/>
        <w:bidi w:val="0"/>
        <w:adjustRightInd/>
        <w:snapToGrid/>
        <w:spacing w:line="474" w:lineRule="exact"/>
        <w:textAlignment w:val="auto"/>
        <w:rPr>
          <w:rFonts w:hint="eastAsia" w:ascii="仿宋_GB2312" w:eastAsia="仿宋_GB2312"/>
          <w:sz w:val="24"/>
          <w:szCs w:val="24"/>
        </w:rPr>
      </w:pPr>
      <w:r>
        <w:rPr>
          <w:rFonts w:hint="eastAsia" w:ascii="仿宋_GB2312" w:eastAsia="仿宋_GB2312"/>
          <w:sz w:val="24"/>
          <w:szCs w:val="24"/>
        </w:rPr>
        <w:t>（4）新法律法规、标准的颁布实施或相关法律法规、标准的修订；</w:t>
      </w:r>
    </w:p>
    <w:p>
      <w:pPr>
        <w:keepNext w:val="0"/>
        <w:keepLines w:val="0"/>
        <w:pageBreakBefore w:val="0"/>
        <w:widowControl w:val="0"/>
        <w:kinsoku/>
        <w:wordWrap/>
        <w:overflowPunct/>
        <w:topLinePunct w:val="0"/>
        <w:autoSpaceDE/>
        <w:autoSpaceDN/>
        <w:bidi w:val="0"/>
        <w:adjustRightInd/>
        <w:snapToGrid/>
        <w:spacing w:line="474" w:lineRule="exact"/>
        <w:textAlignment w:val="auto"/>
        <w:rPr>
          <w:rFonts w:hint="eastAsia" w:ascii="仿宋_GB2312" w:eastAsia="仿宋_GB2312"/>
          <w:sz w:val="24"/>
          <w:szCs w:val="24"/>
        </w:rPr>
      </w:pPr>
      <w:r>
        <w:rPr>
          <w:rFonts w:hint="eastAsia" w:ascii="仿宋_GB2312" w:eastAsia="仿宋_GB2312"/>
          <w:sz w:val="24"/>
          <w:szCs w:val="24"/>
        </w:rPr>
        <w:t>由原平市水源应急指挥部办公室及时修订和完善本预案，并对各部门成员联系方式、单位职责等进行动态更新。预案修订时间原则上为3年/次，如有特殊情况适时修订。</w:t>
      </w:r>
    </w:p>
    <w:p>
      <w:pPr>
        <w:pStyle w:val="5"/>
        <w:pageBreakBefore w:val="0"/>
        <w:widowControl w:val="0"/>
        <w:kinsoku/>
        <w:wordWrap/>
        <w:overflowPunct/>
        <w:topLinePunct w:val="0"/>
        <w:autoSpaceDE/>
        <w:autoSpaceDN/>
        <w:bidi w:val="0"/>
        <w:adjustRightInd/>
        <w:spacing w:line="474" w:lineRule="exact"/>
        <w:textAlignment w:val="auto"/>
        <w:rPr>
          <w:rFonts w:hint="eastAsia"/>
        </w:rPr>
      </w:pPr>
      <w:r>
        <w:rPr>
          <w:rFonts w:hint="eastAsia"/>
        </w:rPr>
        <w:t>8.2  预案解释部门</w:t>
      </w:r>
    </w:p>
    <w:p>
      <w:pPr>
        <w:keepNext w:val="0"/>
        <w:keepLines w:val="0"/>
        <w:pageBreakBefore w:val="0"/>
        <w:widowControl w:val="0"/>
        <w:kinsoku/>
        <w:wordWrap/>
        <w:overflowPunct/>
        <w:topLinePunct w:val="0"/>
        <w:autoSpaceDE/>
        <w:autoSpaceDN/>
        <w:bidi w:val="0"/>
        <w:adjustRightInd/>
        <w:snapToGrid/>
        <w:spacing w:line="474" w:lineRule="exact"/>
        <w:textAlignment w:val="auto"/>
        <w:rPr>
          <w:rFonts w:hint="eastAsia" w:ascii="仿宋_GB2312" w:eastAsia="仿宋_GB2312"/>
          <w:sz w:val="24"/>
          <w:szCs w:val="24"/>
        </w:rPr>
      </w:pPr>
      <w:r>
        <w:rPr>
          <w:rFonts w:hint="eastAsia" w:ascii="仿宋_GB2312" w:eastAsia="仿宋_GB2312"/>
          <w:sz w:val="24"/>
          <w:szCs w:val="24"/>
        </w:rPr>
        <w:t>本预案由忻州市生态环境局原平分局负责解释。</w:t>
      </w:r>
    </w:p>
    <w:p>
      <w:pPr>
        <w:pStyle w:val="5"/>
        <w:pageBreakBefore w:val="0"/>
        <w:widowControl w:val="0"/>
        <w:kinsoku/>
        <w:wordWrap/>
        <w:overflowPunct/>
        <w:topLinePunct w:val="0"/>
        <w:autoSpaceDE/>
        <w:autoSpaceDN/>
        <w:bidi w:val="0"/>
        <w:adjustRightInd/>
        <w:spacing w:line="474" w:lineRule="exact"/>
        <w:textAlignment w:val="auto"/>
        <w:rPr>
          <w:rFonts w:hint="eastAsia"/>
        </w:rPr>
      </w:pPr>
      <w:r>
        <w:rPr>
          <w:rFonts w:hint="eastAsia"/>
        </w:rPr>
        <w:t>8.3  预案实施时间</w:t>
      </w:r>
    </w:p>
    <w:p>
      <w:pPr>
        <w:keepNext w:val="0"/>
        <w:keepLines w:val="0"/>
        <w:pageBreakBefore w:val="0"/>
        <w:widowControl w:val="0"/>
        <w:kinsoku/>
        <w:wordWrap/>
        <w:overflowPunct/>
        <w:topLinePunct w:val="0"/>
        <w:autoSpaceDE/>
        <w:autoSpaceDN/>
        <w:bidi w:val="0"/>
        <w:adjustRightInd/>
        <w:snapToGrid/>
        <w:spacing w:line="474" w:lineRule="exact"/>
        <w:ind w:firstLine="615"/>
        <w:textAlignment w:val="auto"/>
        <w:rPr>
          <w:rFonts w:hint="eastAsia" w:ascii="仿宋_GB2312" w:eastAsia="仿宋_GB2312"/>
          <w:sz w:val="24"/>
          <w:szCs w:val="24"/>
        </w:rPr>
      </w:pPr>
      <w:r>
        <w:rPr>
          <w:rFonts w:hint="eastAsia" w:ascii="仿宋_GB2312" w:eastAsia="仿宋_GB2312"/>
          <w:sz w:val="24"/>
          <w:szCs w:val="24"/>
        </w:rPr>
        <w:t>本预案自印发之日起实施。</w:t>
      </w:r>
    </w:p>
    <w:p>
      <w:pPr>
        <w:pageBreakBefore w:val="0"/>
        <w:widowControl w:val="0"/>
        <w:kinsoku/>
        <w:wordWrap/>
        <w:overflowPunct/>
        <w:topLinePunct w:val="0"/>
        <w:autoSpaceDE/>
        <w:autoSpaceDN/>
        <w:bidi w:val="0"/>
        <w:adjustRightInd/>
        <w:spacing w:line="474" w:lineRule="exact"/>
        <w:textAlignment w:val="auto"/>
        <w:rPr>
          <w:rFonts w:hint="eastAsia" w:ascii="方正小标宋_GBK" w:hAnsi="方正小标宋_GBK" w:eastAsia="方正小标宋_GBK" w:cs="方正小标宋_GBK"/>
          <w:color w:val="FF0000"/>
          <w:sz w:val="42"/>
          <w:szCs w:val="42"/>
        </w:rPr>
        <w:sectPr>
          <w:headerReference r:id="rId17" w:type="even"/>
          <w:type w:val="continuous"/>
          <w:pgSz w:w="12240" w:h="16498"/>
          <w:pgMar w:top="1145" w:right="1389" w:bottom="1134" w:left="1389" w:header="1043" w:footer="992" w:gutter="0"/>
          <w:pgNumType w:fmt="decimal"/>
          <w:cols w:equalWidth="0" w:num="2">
            <w:col w:w="4518" w:space="425"/>
            <w:col w:w="4518"/>
          </w:cols>
          <w:rtlGutter w:val="0"/>
          <w:docGrid w:type="lines" w:linePitch="312" w:charSpace="0"/>
        </w:sectPr>
      </w:pPr>
    </w:p>
    <w:p>
      <w:pPr>
        <w:pStyle w:val="2"/>
        <w:bidi w:val="0"/>
        <w:rPr>
          <w:rFonts w:hint="eastAsia"/>
        </w:rPr>
      </w:pPr>
    </w:p>
    <w:p>
      <w:pPr>
        <w:pStyle w:val="2"/>
        <w:bidi w:val="0"/>
        <w:rPr>
          <w:rFonts w:hint="eastAsia"/>
        </w:rPr>
      </w:pPr>
      <w:bookmarkStart w:id="72" w:name="_Toc20701"/>
      <w:bookmarkStart w:id="73" w:name="_Toc23001"/>
      <w:r>
        <w:rPr>
          <w:rFonts w:hint="eastAsia"/>
        </w:rPr>
        <w:t>原平市人民政府办公室</w:t>
      </w:r>
      <w:bookmarkEnd w:id="72"/>
      <w:bookmarkEnd w:id="73"/>
    </w:p>
    <w:p>
      <w:pPr>
        <w:pStyle w:val="2"/>
        <w:bidi w:val="0"/>
        <w:rPr>
          <w:rFonts w:hint="eastAsia"/>
        </w:rPr>
      </w:pPr>
      <w:bookmarkStart w:id="74" w:name="_Toc9729"/>
      <w:bookmarkStart w:id="75" w:name="_Toc14755"/>
      <w:r>
        <w:rPr>
          <w:rFonts w:hint="eastAsia"/>
        </w:rPr>
        <w:t>关于印发原平市严厉打击非法违法采矿</w:t>
      </w:r>
      <w:bookmarkEnd w:id="74"/>
      <w:bookmarkEnd w:id="75"/>
    </w:p>
    <w:p>
      <w:pPr>
        <w:pStyle w:val="2"/>
        <w:bidi w:val="0"/>
        <w:rPr>
          <w:rFonts w:hint="eastAsia"/>
        </w:rPr>
      </w:pPr>
      <w:bookmarkStart w:id="76" w:name="_Toc25559"/>
      <w:bookmarkStart w:id="77" w:name="_Toc1041"/>
      <w:r>
        <w:rPr>
          <w:rFonts w:hint="eastAsia"/>
        </w:rPr>
        <w:t>抓落实工作推进机制的通知</w:t>
      </w:r>
      <w:bookmarkEnd w:id="76"/>
      <w:bookmarkEnd w:id="77"/>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center"/>
        <w:textAlignment w:val="auto"/>
        <w:rPr>
          <w:rFonts w:hint="eastAsia" w:ascii="仿宋_GB2312" w:eastAsia="仿宋_GB2312"/>
          <w:sz w:val="24"/>
          <w:szCs w:val="24"/>
        </w:rPr>
      </w:pPr>
    </w:p>
    <w:p>
      <w:pPr>
        <w:pStyle w:val="3"/>
        <w:bidi w:val="0"/>
        <w:rPr>
          <w:rFonts w:hint="eastAsia"/>
        </w:rPr>
      </w:pPr>
      <w:bookmarkStart w:id="78" w:name="_Toc9782"/>
      <w:r>
        <w:rPr>
          <w:rFonts w:hint="eastAsia"/>
        </w:rPr>
        <w:t>原政办发〔2022〕35号</w:t>
      </w:r>
      <w:bookmarkEnd w:id="78"/>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rFonts w:hint="eastAsia" w:ascii="仿宋_GB2312" w:eastAsia="仿宋_GB2312"/>
          <w:sz w:val="24"/>
          <w:szCs w:val="24"/>
        </w:rPr>
      </w:pPr>
      <w:r>
        <w:rPr>
          <w:rFonts w:hint="eastAsia" w:ascii="仿宋_GB2312" w:eastAsia="仿宋_GB2312"/>
          <w:sz w:val="24"/>
          <w:szCs w:val="24"/>
        </w:rPr>
        <w:t>各乡（镇）人民政府，各有关单位：</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eastAsia="仿宋_GB2312"/>
          <w:sz w:val="24"/>
          <w:szCs w:val="24"/>
        </w:rPr>
      </w:pPr>
      <w:r>
        <w:rPr>
          <w:rFonts w:hint="eastAsia" w:ascii="仿宋_GB2312" w:eastAsia="仿宋_GB2312"/>
          <w:sz w:val="24"/>
          <w:szCs w:val="24"/>
        </w:rPr>
        <w:t>《原平市严厉打击非法违法采矿抓落实工作推进机制》已经市政府研究同意，现印发给你们，请认真贯彻落实。</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eastAsia="仿宋_GB2312"/>
          <w:sz w:val="24"/>
          <w:szCs w:val="24"/>
        </w:rPr>
      </w:pPr>
    </w:p>
    <w:p>
      <w:pPr>
        <w:keepNext w:val="0"/>
        <w:keepLines w:val="0"/>
        <w:pageBreakBefore w:val="0"/>
        <w:widowControl w:val="0"/>
        <w:kinsoku/>
        <w:wordWrap/>
        <w:overflowPunct/>
        <w:topLinePunct w:val="0"/>
        <w:autoSpaceDE/>
        <w:autoSpaceDN/>
        <w:bidi w:val="0"/>
        <w:adjustRightInd/>
        <w:snapToGrid/>
        <w:spacing w:line="500" w:lineRule="exact"/>
        <w:ind w:leftChars="1900"/>
        <w:jc w:val="center"/>
        <w:textAlignment w:val="auto"/>
        <w:rPr>
          <w:rFonts w:hint="eastAsia" w:ascii="仿宋_GB2312" w:eastAsia="仿宋_GB2312"/>
          <w:sz w:val="24"/>
          <w:szCs w:val="24"/>
        </w:rPr>
      </w:pPr>
      <w:r>
        <w:rPr>
          <w:rFonts w:hint="eastAsia" w:ascii="仿宋_GB2312" w:eastAsia="仿宋_GB2312"/>
          <w:sz w:val="24"/>
          <w:szCs w:val="24"/>
        </w:rPr>
        <w:t>原平市人民政府办公室</w:t>
      </w:r>
    </w:p>
    <w:p>
      <w:pPr>
        <w:keepNext w:val="0"/>
        <w:keepLines w:val="0"/>
        <w:pageBreakBefore w:val="0"/>
        <w:widowControl w:val="0"/>
        <w:kinsoku/>
        <w:wordWrap/>
        <w:overflowPunct/>
        <w:topLinePunct w:val="0"/>
        <w:autoSpaceDE/>
        <w:autoSpaceDN/>
        <w:bidi w:val="0"/>
        <w:adjustRightInd/>
        <w:snapToGrid/>
        <w:spacing w:line="500" w:lineRule="exact"/>
        <w:ind w:leftChars="1900"/>
        <w:jc w:val="center"/>
        <w:textAlignment w:val="auto"/>
        <w:rPr>
          <w:rFonts w:hint="eastAsia" w:ascii="仿宋_GB2312" w:eastAsia="仿宋_GB2312"/>
          <w:sz w:val="32"/>
          <w:szCs w:val="32"/>
        </w:rPr>
      </w:pPr>
      <w:r>
        <w:rPr>
          <w:rFonts w:hint="eastAsia" w:ascii="仿宋_GB2312" w:eastAsia="仿宋_GB2312"/>
          <w:sz w:val="24"/>
          <w:szCs w:val="24"/>
        </w:rPr>
        <w:t>2022年9月23日</w:t>
      </w:r>
    </w:p>
    <w:p>
      <w:pPr>
        <w:pStyle w:val="2"/>
        <w:bidi w:val="0"/>
        <w:rPr>
          <w:rFonts w:hint="eastAsia"/>
        </w:rPr>
      </w:pPr>
    </w:p>
    <w:p>
      <w:pPr>
        <w:pStyle w:val="32"/>
        <w:bidi w:val="0"/>
        <w:rPr>
          <w:rFonts w:hint="eastAsia"/>
        </w:rPr>
      </w:pPr>
      <w:bookmarkStart w:id="79" w:name="_Toc10202"/>
      <w:r>
        <w:rPr>
          <w:rFonts w:hint="eastAsia"/>
        </w:rPr>
        <w:t>原平市严厉打击非法违法采矿</w:t>
      </w:r>
      <w:bookmarkEnd w:id="79"/>
    </w:p>
    <w:p>
      <w:pPr>
        <w:pStyle w:val="32"/>
        <w:bidi w:val="0"/>
        <w:rPr>
          <w:rFonts w:hint="eastAsia"/>
        </w:rPr>
      </w:pPr>
      <w:bookmarkStart w:id="80" w:name="_Toc30193"/>
      <w:r>
        <w:rPr>
          <w:rFonts w:hint="eastAsia"/>
        </w:rPr>
        <w:t>抓落实工作推进机制</w:t>
      </w:r>
      <w:bookmarkEnd w:id="80"/>
    </w:p>
    <w:p>
      <w:pPr>
        <w:spacing w:line="540" w:lineRule="exact"/>
        <w:rPr>
          <w:rFonts w:hint="eastAsia" w:ascii="仿宋_GB2312" w:eastAsia="仿宋_GB2312"/>
          <w:sz w:val="32"/>
          <w:szCs w:val="32"/>
        </w:rPr>
      </w:pP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eastAsia="仿宋_GB2312"/>
          <w:sz w:val="24"/>
          <w:szCs w:val="24"/>
        </w:rPr>
        <w:sectPr>
          <w:headerReference r:id="rId18" w:type="even"/>
          <w:pgSz w:w="12240" w:h="16498"/>
          <w:pgMar w:top="1145" w:right="1389" w:bottom="1134" w:left="1389" w:header="1043" w:footer="992" w:gutter="0"/>
          <w:pgNumType w:fmt="decimal"/>
          <w:cols w:space="425"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ascii="仿宋_GB2312" w:eastAsia="仿宋_GB2312"/>
          <w:sz w:val="24"/>
          <w:szCs w:val="24"/>
        </w:rPr>
      </w:pPr>
      <w:r>
        <w:rPr>
          <w:rFonts w:hint="eastAsia" w:ascii="仿宋_GB2312" w:eastAsia="仿宋_GB2312"/>
          <w:sz w:val="24"/>
          <w:szCs w:val="24"/>
        </w:rPr>
        <w:t>为深入贯彻落实习近平总书记关于自然资源管理的重要论述精神，根据山西省、忻州市关于严厉打击非法违法采矿抓落实工作推进机制文件精神,结合我市实际，制定本工作推进机制。</w:t>
      </w:r>
    </w:p>
    <w:p>
      <w:pPr>
        <w:pageBreakBefore w:val="0"/>
        <w:widowControl w:val="0"/>
        <w:kinsoku/>
        <w:wordWrap/>
        <w:overflowPunct/>
        <w:topLinePunct w:val="0"/>
        <w:autoSpaceDE/>
        <w:autoSpaceDN/>
        <w:bidi w:val="0"/>
        <w:adjustRightInd/>
        <w:spacing w:line="440" w:lineRule="atLeast"/>
        <w:ind w:firstLine="520" w:firstLineChars="200"/>
        <w:textAlignment w:val="auto"/>
        <w:rPr>
          <w:rFonts w:hint="eastAsia" w:ascii="黑体" w:hAnsi="黑体" w:eastAsia="黑体"/>
          <w:sz w:val="26"/>
          <w:szCs w:val="26"/>
        </w:rPr>
        <w:sectPr>
          <w:type w:val="continuous"/>
          <w:pgSz w:w="12240" w:h="16498"/>
          <w:pgMar w:top="1145" w:right="1389" w:bottom="1134" w:left="1389" w:header="1043" w:footer="992" w:gutter="0"/>
          <w:pgNumType w:fmt="decimal"/>
          <w:cols w:space="425" w:num="1"/>
          <w:rtlGutter w:val="0"/>
          <w:docGrid w:type="lines" w:linePitch="312" w:charSpace="0"/>
        </w:sectPr>
      </w:pPr>
    </w:p>
    <w:p>
      <w:pPr>
        <w:pageBreakBefore w:val="0"/>
        <w:widowControl w:val="0"/>
        <w:kinsoku/>
        <w:wordWrap/>
        <w:overflowPunct/>
        <w:topLinePunct w:val="0"/>
        <w:autoSpaceDE/>
        <w:autoSpaceDN/>
        <w:bidi w:val="0"/>
        <w:adjustRightInd/>
        <w:spacing w:line="440" w:lineRule="atLeast"/>
        <w:ind w:firstLine="520" w:firstLineChars="200"/>
        <w:textAlignment w:val="auto"/>
        <w:rPr>
          <w:rFonts w:hint="eastAsia" w:ascii="黑体" w:hAnsi="黑体" w:eastAsia="黑体"/>
          <w:sz w:val="26"/>
          <w:szCs w:val="26"/>
        </w:rPr>
      </w:pPr>
      <w:r>
        <w:rPr>
          <w:rFonts w:hint="eastAsia" w:ascii="黑体" w:hAnsi="黑体" w:eastAsia="黑体"/>
          <w:sz w:val="26"/>
          <w:szCs w:val="26"/>
        </w:rPr>
        <w:t>一、指导思想</w:t>
      </w:r>
    </w:p>
    <w:p>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ascii="仿宋_GB2312" w:eastAsia="仿宋_GB2312"/>
          <w:sz w:val="24"/>
          <w:szCs w:val="24"/>
        </w:rPr>
      </w:pPr>
      <w:r>
        <w:rPr>
          <w:rFonts w:hint="eastAsia" w:ascii="仿宋_GB2312" w:eastAsia="仿宋_GB2312"/>
          <w:sz w:val="24"/>
          <w:szCs w:val="24"/>
        </w:rPr>
        <w:t>以习近平新时代中国特色社会主义思想为指导，全面落实山西省、忻州市关于严厉打击非法违法采矿决策部署，充分认识严厉打击非法违法采矿的重要性、紧迫性和必要性，坚持人民至上、生命至上，把打击遏制各类非法违法采矿行为作为当前的一项重要工作任务。压实多方责任，健全长效机制，始终保持打击非法违法采矿高压态势，切实维护全市矿产资源开发秩序。</w:t>
      </w:r>
    </w:p>
    <w:p>
      <w:pPr>
        <w:pageBreakBefore w:val="0"/>
        <w:widowControl w:val="0"/>
        <w:kinsoku/>
        <w:wordWrap/>
        <w:overflowPunct/>
        <w:topLinePunct w:val="0"/>
        <w:autoSpaceDE/>
        <w:autoSpaceDN/>
        <w:bidi w:val="0"/>
        <w:adjustRightInd/>
        <w:spacing w:line="440" w:lineRule="atLeast"/>
        <w:ind w:firstLine="520" w:firstLineChars="200"/>
        <w:textAlignment w:val="auto"/>
        <w:rPr>
          <w:rFonts w:hint="eastAsia" w:ascii="黑体" w:hAnsi="黑体" w:eastAsia="黑体"/>
          <w:sz w:val="26"/>
          <w:szCs w:val="26"/>
        </w:rPr>
      </w:pPr>
      <w:r>
        <w:rPr>
          <w:rFonts w:hint="eastAsia" w:ascii="黑体" w:hAnsi="黑体" w:eastAsia="黑体"/>
          <w:sz w:val="26"/>
          <w:szCs w:val="26"/>
        </w:rPr>
        <w:t>二、重点任务</w:t>
      </w:r>
    </w:p>
    <w:p>
      <w:pPr>
        <w:pStyle w:val="5"/>
        <w:pageBreakBefore w:val="0"/>
        <w:widowControl w:val="0"/>
        <w:kinsoku/>
        <w:wordWrap/>
        <w:overflowPunct/>
        <w:topLinePunct w:val="0"/>
        <w:autoSpaceDE/>
        <w:autoSpaceDN/>
        <w:bidi w:val="0"/>
        <w:adjustRightInd/>
        <w:spacing w:line="440" w:lineRule="atLeast"/>
        <w:textAlignment w:val="auto"/>
        <w:rPr>
          <w:rFonts w:hint="eastAsia"/>
        </w:rPr>
      </w:pPr>
      <w:r>
        <w:rPr>
          <w:rFonts w:hint="eastAsia"/>
        </w:rPr>
        <w:t>（一）夯实党委政府主体责任</w:t>
      </w:r>
    </w:p>
    <w:p>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ascii="仿宋_GB2312" w:eastAsia="仿宋_GB2312"/>
          <w:sz w:val="24"/>
          <w:szCs w:val="24"/>
        </w:rPr>
      </w:pPr>
      <w:r>
        <w:rPr>
          <w:rFonts w:hint="eastAsia" w:ascii="仿宋_GB2312" w:eastAsia="仿宋_GB2312"/>
          <w:sz w:val="24"/>
          <w:szCs w:val="24"/>
        </w:rPr>
        <w:t>1、健全常态化领导机构。各乡（镇、街道）要成立组织领导机构和工作专班，完善联防联动机制，实现常态化运行。各乡（镇、街道）要充分担负起打击非法违法采矿的主体责任，认清形势，把握重点，有序推进。</w:t>
      </w:r>
    </w:p>
    <w:p>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ascii="仿宋_GB2312" w:eastAsia="仿宋_GB2312"/>
          <w:sz w:val="24"/>
          <w:szCs w:val="24"/>
        </w:rPr>
      </w:pPr>
      <w:r>
        <w:rPr>
          <w:rFonts w:hint="eastAsia" w:ascii="仿宋_GB2312" w:eastAsia="仿宋_GB2312"/>
          <w:sz w:val="24"/>
          <w:szCs w:val="24"/>
        </w:rPr>
        <w:t>2、建立乡（镇、街道）党政主要负责人重点区域分级包联责任机制。各乡（镇、街道）是本行政区域内打击非法违法采矿大检查大整治大提升行动的责任主体，要切实加强组织领导，实行领导包联机制，层层压实主体责任，持续抓好打击非法违法采矿大检查大整治大提升行动工作。包联区域发生重大非法违法采矿案件，造成严重后果的，要追究包联责任人责任。</w:t>
      </w:r>
    </w:p>
    <w:p>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ascii="仿宋_GB2312" w:eastAsia="仿宋_GB2312"/>
          <w:sz w:val="24"/>
          <w:szCs w:val="24"/>
        </w:rPr>
      </w:pPr>
      <w:r>
        <w:rPr>
          <w:rFonts w:hint="eastAsia" w:ascii="仿宋_GB2312" w:eastAsia="仿宋_GB2312"/>
          <w:sz w:val="24"/>
          <w:szCs w:val="24"/>
        </w:rPr>
        <w:t>3、构建“网格化”监管责任体系。各乡（镇、街道）要按照“属地管理、分级负责、全面覆盖、责任到人”的原则，全面梳理辖区内历史废弃（关闭）矿井、私挖滥采点、有证矿山等重点监管对象，逐一登记造册，设立警示标识牌和监管责任牌，定区域、定职责、定人员，落实责任到人，实行“网格化”管理；凡在涉矿区域实施地灾治理、生态修复等工程项目的，要严格实行信息公示制度，按照“谁审批、谁负责、谁监管”的原则，明确监管责任人；健全动态巡查监管机制，完善抽查排查等相关制度，进一步压实责任，落实常态化巡查，构建县、乡、村三级联动的监管责任体系。</w:t>
      </w:r>
    </w:p>
    <w:p>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ascii="仿宋_GB2312" w:eastAsia="仿宋_GB2312"/>
          <w:sz w:val="24"/>
          <w:szCs w:val="24"/>
        </w:rPr>
      </w:pPr>
      <w:r>
        <w:rPr>
          <w:rFonts w:hint="eastAsia" w:ascii="仿宋_GB2312" w:eastAsia="仿宋_GB2312"/>
          <w:sz w:val="24"/>
          <w:szCs w:val="24"/>
        </w:rPr>
        <w:t>4、完善部门联合工作机制。各乡（镇、街道）要加强统筹协调，牵头组织相关职能部门，健全信息共享、联合执法、线索移送等工作机制，有效凝聚工作合力。各主管部门要结合本部门职责，将打击非法违法采矿作为日常监督检查的一项重要内容，对开采、储存、运输、销售各个环节实行“全链条”监管，发现非法违法采矿线索，及时通报相关部门查处，积极协助进行处理。</w:t>
      </w:r>
    </w:p>
    <w:p>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ascii="仿宋_GB2312" w:eastAsia="仿宋_GB2312"/>
          <w:sz w:val="24"/>
          <w:szCs w:val="24"/>
        </w:rPr>
      </w:pPr>
      <w:r>
        <w:rPr>
          <w:rFonts w:hint="eastAsia" w:ascii="仿宋_GB2312" w:eastAsia="仿宋_GB2312"/>
          <w:sz w:val="24"/>
          <w:szCs w:val="24"/>
        </w:rPr>
        <w:t>5、压实主管部门责任。自然资源部门负责牵头组织对非法采矿行为的打击查处，查处持证矿山企业的超层越界行为；公安机关负责民用爆炸物品公共安全管理和民用爆炸物品购买、运输、爆破作业的安全监督管理，严厉打击非法采矿、破坏性采矿违法犯罪行为；生态环境部门负责组织开展生态环境保护执法检查，发现存在非法违法采矿行为，及时通报相关部门查处，发现自然保护区内存在非法违法采矿行为，及时通报相关部门查处；应急部门负责加强对依法取得采矿许可证矿山企业的安全监督，发现不符合安全生产条件以及未按批准的矿山安全设计要求组织生产建设的违法行为，依据安全生产法律法规进行处罚;发现超层越界影响安全的非法违法采矿行为及时通报相关部门处理。水利部门负责河道（水库库区范围）内非法违法采砂石行为的打击查处；能源部门负责加强煤炭企业相关管理工作，发现非法违法采矿行为，依法依规查处，涉及超层越界非法违法采矿行为及时通报相关部门查处；林业部门负责自然保护区、林地、草原、湿地范围内非法违法采矿的监管，发现非法违法采矿行为，及时通报相关部门查处；国网原平市供电公司负责对全市煤矿、非煤矿山、危险化学品等高危行业企业以及不明原因用电异常情况进行实时监测，有明显异常及时排查发现、及时预警通报；宣传部门负责指导协调宣传工作，根据自然资源等部门的权威信息，组织新闻媒体做好宣传报道，营造积极有力的舆论氛围。</w:t>
      </w:r>
    </w:p>
    <w:p>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ascii="仿宋_GB2312" w:eastAsia="仿宋_GB2312"/>
          <w:sz w:val="24"/>
          <w:szCs w:val="24"/>
        </w:rPr>
      </w:pPr>
      <w:r>
        <w:rPr>
          <w:rFonts w:hint="eastAsia" w:ascii="仿宋_GB2312" w:eastAsia="仿宋_GB2312"/>
          <w:sz w:val="24"/>
          <w:szCs w:val="24"/>
        </w:rPr>
        <w:t>6、压实企业管理责任。持证矿山企业是本矿区范围内保护矿产资源和安全生产的管理责任主体。地质调查勘察单位对调查勘察区域范围的非法违法采矿行为负管理责任。私挖滥采易发频发区域内的矿山企业要主动担责，严禁纵容、掩护私挖滥采行为。企业要切实加强责任区域内矿产资源的管理和保护，及时发现、及时制止私挖滥采、盗采资源等非法违法采矿行为，并及时报告监管部门。凡监管区域内应发现未发现、发现后不制止不报告、发生盗采资源案件、引发安全生产事故的，要倒追相关企业的管理责任。</w:t>
      </w:r>
    </w:p>
    <w:p>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ascii="仿宋_GB2312" w:eastAsia="仿宋_GB2312"/>
          <w:sz w:val="24"/>
          <w:szCs w:val="24"/>
        </w:rPr>
      </w:pPr>
      <w:r>
        <w:rPr>
          <w:rFonts w:hint="eastAsia" w:ascii="仿宋_GB2312" w:eastAsia="仿宋_GB2312"/>
          <w:sz w:val="24"/>
          <w:szCs w:val="24"/>
        </w:rPr>
        <w:t>7、加强自然资源执法队伍建设。要合理规划、调整、配置自然资源执法机构和人员，进一步充实基层一线执法力量，从人、财、物、待遇和技术手段等方面予以倾斜和保障，将执法业务经费纳入市财政保障范围，不断提升自然资源执法效能和水平，为依法严厉打击非法违法采矿提供基础保障。</w:t>
      </w:r>
    </w:p>
    <w:p>
      <w:pPr>
        <w:pStyle w:val="5"/>
        <w:pageBreakBefore w:val="0"/>
        <w:widowControl w:val="0"/>
        <w:kinsoku/>
        <w:wordWrap/>
        <w:overflowPunct/>
        <w:topLinePunct w:val="0"/>
        <w:autoSpaceDE/>
        <w:autoSpaceDN/>
        <w:bidi w:val="0"/>
        <w:adjustRightInd/>
        <w:spacing w:line="440" w:lineRule="atLeast"/>
        <w:textAlignment w:val="auto"/>
        <w:rPr>
          <w:rFonts w:hint="eastAsia"/>
        </w:rPr>
      </w:pPr>
      <w:r>
        <w:rPr>
          <w:rFonts w:hint="eastAsia"/>
        </w:rPr>
        <w:t>（二）严肃查处非法违法采矿案件</w:t>
      </w:r>
    </w:p>
    <w:p>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ascii="仿宋_GB2312" w:eastAsia="仿宋_GB2312"/>
          <w:sz w:val="24"/>
          <w:szCs w:val="24"/>
        </w:rPr>
      </w:pPr>
      <w:r>
        <w:rPr>
          <w:rFonts w:hint="eastAsia" w:ascii="仿宋_GB2312" w:eastAsia="仿宋_GB2312"/>
          <w:sz w:val="24"/>
          <w:szCs w:val="24"/>
        </w:rPr>
        <w:t>1、拓宽线索举报渠道。要充分发挥“12345”政务服务便民热线、“110”报警电话等平台作用，通过公布举报电话、网络邮箱、举报信箱、建立举报平台等多种方式，不断拓宽群众举报途径，广泛收集非法违法采矿问题线索。</w:t>
      </w:r>
    </w:p>
    <w:p>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ascii="仿宋_GB2312" w:eastAsia="仿宋_GB2312"/>
          <w:sz w:val="24"/>
          <w:szCs w:val="24"/>
        </w:rPr>
      </w:pPr>
      <w:r>
        <w:rPr>
          <w:rFonts w:hint="eastAsia" w:ascii="仿宋_GB2312" w:eastAsia="仿宋_GB2312"/>
          <w:sz w:val="24"/>
          <w:szCs w:val="24"/>
        </w:rPr>
        <w:t>2、加大案件查办力度。自然资源部门、公安机关要进一步加大打击非法违法采矿工作力度，始终保持高压态势，坚决“零容忍”，露头就打，发现一起、查处一起，依法严惩重罚，形成强力震慑。</w:t>
      </w:r>
    </w:p>
    <w:p>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ascii="仿宋_GB2312" w:eastAsia="仿宋_GB2312"/>
          <w:sz w:val="24"/>
          <w:szCs w:val="24"/>
        </w:rPr>
      </w:pPr>
      <w:r>
        <w:rPr>
          <w:rFonts w:hint="eastAsia" w:ascii="仿宋_GB2312" w:eastAsia="仿宋_GB2312"/>
          <w:sz w:val="24"/>
          <w:szCs w:val="24"/>
        </w:rPr>
        <w:t>3、严肃责任追究。纪检监察机关依规依纪依法对乡（镇、街道）及有关部门在打击非法违法采矿大检查大整治大提升行动工作的履职情况进行监督检查。凡发生非法违法采矿案件，既要严肃查处非法违法采矿中相关责任人履职不力、失职渎职问题，更要深挖彻查官商勾结、权钱交易、利益输送等背后腐败和“保护伞”问题。公安机关、自然资源部门要主动配合纪检监察机关，发现问题线索一律及时移交纪检监察机关。</w:t>
      </w:r>
    </w:p>
    <w:p>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ascii="仿宋_GB2312" w:eastAsia="仿宋_GB2312"/>
          <w:sz w:val="24"/>
          <w:szCs w:val="24"/>
        </w:rPr>
      </w:pPr>
      <w:r>
        <w:rPr>
          <w:rFonts w:hint="eastAsia" w:ascii="仿宋_GB2312" w:eastAsia="仿宋_GB2312"/>
          <w:sz w:val="24"/>
          <w:szCs w:val="24"/>
        </w:rPr>
        <w:t>4、建立案件公示机制。公安机关、自然资源部门要全面推行案件公示制度。凡查处的非法违法采矿案件，要明确专人负责调查工作，并登记造册；案件办结后，要将处罚、追责等查处情况，主动向社会公开公示。</w:t>
      </w:r>
    </w:p>
    <w:p>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ascii="仿宋_GB2312" w:eastAsia="仿宋_GB2312"/>
          <w:sz w:val="24"/>
          <w:szCs w:val="24"/>
        </w:rPr>
      </w:pPr>
      <w:r>
        <w:rPr>
          <w:rFonts w:hint="eastAsia" w:ascii="仿宋_GB2312" w:eastAsia="仿宋_GB2312"/>
          <w:sz w:val="24"/>
          <w:szCs w:val="24"/>
        </w:rPr>
        <w:t>5、健全“行刑”衔接机制。要进一步完善联动执法、案件移送、案件法律监督、重大案件会商督办等制度，着力构建共同防范和合力打击非法违法采矿工作格局。司法机关要加强对行政执法部门的支持配合，必要时主动提前介入，严查严打、严惩重处破坏自然资源犯罪活动。</w:t>
      </w:r>
    </w:p>
    <w:p>
      <w:pPr>
        <w:pStyle w:val="5"/>
        <w:pageBreakBefore w:val="0"/>
        <w:widowControl w:val="0"/>
        <w:kinsoku/>
        <w:wordWrap/>
        <w:overflowPunct/>
        <w:topLinePunct w:val="0"/>
        <w:autoSpaceDE/>
        <w:autoSpaceDN/>
        <w:bidi w:val="0"/>
        <w:adjustRightInd/>
        <w:spacing w:line="440" w:lineRule="atLeast"/>
        <w:textAlignment w:val="auto"/>
        <w:rPr>
          <w:rFonts w:hint="eastAsia"/>
        </w:rPr>
      </w:pPr>
      <w:r>
        <w:rPr>
          <w:rFonts w:hint="eastAsia"/>
        </w:rPr>
        <w:t>（三）构建群防群治工作格局</w:t>
      </w:r>
    </w:p>
    <w:p>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ascii="仿宋_GB2312" w:eastAsia="仿宋_GB2312"/>
          <w:sz w:val="24"/>
          <w:szCs w:val="24"/>
        </w:rPr>
      </w:pPr>
      <w:r>
        <w:rPr>
          <w:rFonts w:hint="eastAsia" w:ascii="仿宋_GB2312" w:eastAsia="仿宋_GB2312"/>
          <w:sz w:val="24"/>
          <w:szCs w:val="24"/>
        </w:rPr>
        <w:t>1、进一步加大宣传力度。充分发挥新闻媒体宣传引导和舆论监督作用，多渠道、多形式开展法制宣传教育，深入解读加强矿产资源保护与维护安全稳定的重要意义，广泛宣传严厉打击非法违法采矿的决心和措施，切实调动广大人民群众参与保护资源的积极性，营造浓厚的社会氛围。</w:t>
      </w:r>
    </w:p>
    <w:p>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ascii="仿宋_GB2312" w:eastAsia="仿宋_GB2312"/>
          <w:sz w:val="24"/>
          <w:szCs w:val="24"/>
        </w:rPr>
      </w:pPr>
      <w:r>
        <w:rPr>
          <w:rFonts w:hint="eastAsia" w:ascii="仿宋_GB2312" w:eastAsia="仿宋_GB2312"/>
          <w:sz w:val="24"/>
          <w:szCs w:val="24"/>
        </w:rPr>
        <w:t>2、全面推动举报奖励制度落实。要切实抓好市自然资源局、公安局、财政局联合印发《原平市非法违法采矿线索举报奖励实施办法》（原自然资发〔2022〕52号）的贯彻落实，切实做到应奖尽奖、足额兑现，充分调动群众参与监督的积极性，推动形成联防联控、群防群治工作格局。</w:t>
      </w:r>
    </w:p>
    <w:p>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ascii="仿宋_GB2312" w:eastAsia="仿宋_GB2312"/>
          <w:sz w:val="24"/>
          <w:szCs w:val="24"/>
        </w:rPr>
      </w:pPr>
      <w:r>
        <w:rPr>
          <w:rFonts w:hint="eastAsia" w:ascii="仿宋_GB2312" w:eastAsia="仿宋_GB2312"/>
          <w:sz w:val="24"/>
          <w:szCs w:val="24"/>
        </w:rPr>
        <w:t>3、公开通报曝光典型案件。综合利用传统媒体和新媒体，广泛宣传政策法规和执法动态，定期曝光重大典型案件，加强舆论监督，扩大办案影响，有效形成震慑效应。相关单位要加强与新闻媒体的沟通联系，畅通媒体渠道，更好地发挥新闻媒体的公开平台作用。</w:t>
      </w:r>
    </w:p>
    <w:p>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ascii="仿宋_GB2312" w:eastAsia="仿宋_GB2312"/>
          <w:sz w:val="24"/>
          <w:szCs w:val="24"/>
        </w:rPr>
      </w:pPr>
      <w:r>
        <w:rPr>
          <w:rFonts w:hint="eastAsia" w:ascii="仿宋_GB2312" w:eastAsia="仿宋_GB2312"/>
          <w:sz w:val="24"/>
          <w:szCs w:val="24"/>
        </w:rPr>
        <w:t>4、健全办案激励机制。探索建立办案奖励制度，对办案机关主动发现并查实的重大典型非法违法采矿案件，给予表现突出的办案人员适当表彰奖励，充分激发办案人员工作积极性。</w:t>
      </w:r>
    </w:p>
    <w:p>
      <w:pPr>
        <w:pageBreakBefore w:val="0"/>
        <w:widowControl w:val="0"/>
        <w:kinsoku/>
        <w:wordWrap/>
        <w:overflowPunct/>
        <w:topLinePunct w:val="0"/>
        <w:autoSpaceDE/>
        <w:autoSpaceDN/>
        <w:bidi w:val="0"/>
        <w:adjustRightInd/>
        <w:spacing w:line="440" w:lineRule="atLeast"/>
        <w:ind w:firstLine="520" w:firstLineChars="200"/>
        <w:textAlignment w:val="auto"/>
        <w:rPr>
          <w:rFonts w:hint="eastAsia" w:ascii="黑体" w:hAnsi="黑体" w:eastAsia="黑体"/>
          <w:sz w:val="26"/>
          <w:szCs w:val="26"/>
        </w:rPr>
      </w:pPr>
      <w:r>
        <w:rPr>
          <w:rFonts w:hint="eastAsia" w:ascii="黑体" w:hAnsi="黑体" w:eastAsia="黑体"/>
          <w:sz w:val="26"/>
          <w:szCs w:val="26"/>
        </w:rPr>
        <w:t>三、工作要求</w:t>
      </w:r>
    </w:p>
    <w:p>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ascii="仿宋_GB2312" w:eastAsia="仿宋_GB2312"/>
          <w:sz w:val="24"/>
          <w:szCs w:val="24"/>
        </w:rPr>
      </w:pPr>
      <w:r>
        <w:rPr>
          <w:rStyle w:val="29"/>
          <w:rFonts w:hint="eastAsia"/>
        </w:rPr>
        <w:t>（一）高度重视推进机制。</w:t>
      </w:r>
      <w:r>
        <w:rPr>
          <w:rFonts w:hint="eastAsia" w:ascii="仿宋_GB2312" w:eastAsia="仿宋_GB2312"/>
          <w:sz w:val="24"/>
          <w:szCs w:val="24"/>
        </w:rPr>
        <w:t>要将打击非法违法采矿大检查大整治大提升行动工作作为一项重要的政治任务统筹抓好落实。严格按照山西省、忻州市严厉打击非法违法采矿抓落实工作推进机制规定，进一步抓落实工作。推进组织领导机制、清单台账机制、专题研究机制，确保各项工作任务高质高效推进。</w:t>
      </w:r>
    </w:p>
    <w:p>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ascii="仿宋_GB2312" w:eastAsia="仿宋_GB2312"/>
          <w:sz w:val="24"/>
          <w:szCs w:val="24"/>
        </w:rPr>
      </w:pPr>
      <w:r>
        <w:rPr>
          <w:rStyle w:val="29"/>
          <w:rFonts w:hint="eastAsia"/>
        </w:rPr>
        <w:t>（二）加强领导狠抓落实。</w:t>
      </w:r>
      <w:r>
        <w:rPr>
          <w:rFonts w:hint="eastAsia" w:ascii="仿宋_GB2312" w:eastAsia="仿宋_GB2312"/>
          <w:sz w:val="24"/>
          <w:szCs w:val="24"/>
        </w:rPr>
        <w:t>各乡（镇、街道）主要负责同志要负起主责，分管领导要负起直接责任和具体责任，行业部门要负起监管责任，企业要负起主体责任。乡（镇、街道）主要负责人要当好第一发现人和报告人，把思想统一到市政府决策部署上来，切实形成紧密闭合的责任链条，强化组织领导，把专项行动工作抓在手上，落实在实际行动中，从源头上消除隐患，确保工作落到实处。</w:t>
      </w:r>
    </w:p>
    <w:p>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ascii="仿宋_GB2312" w:eastAsia="仿宋_GB2312"/>
          <w:sz w:val="24"/>
          <w:szCs w:val="24"/>
        </w:rPr>
      </w:pPr>
      <w:r>
        <w:rPr>
          <w:rStyle w:val="29"/>
          <w:rFonts w:hint="eastAsia"/>
        </w:rPr>
        <w:t>（三）严肃责任追究确保工作实效。</w:t>
      </w:r>
      <w:r>
        <w:rPr>
          <w:rFonts w:hint="eastAsia" w:ascii="仿宋_GB2312" w:eastAsia="仿宋_GB2312"/>
          <w:sz w:val="24"/>
          <w:szCs w:val="24"/>
        </w:rPr>
        <w:t>市政府将组织相关部门加大跟踪督办力度，采取督导抽查等方式，对各乡（镇、街道）排查整治情况开展不定期督导检查，切实督促各乡（镇、街道）将所有问题查处整改落实到位。对检查发现的落实监管职责不力、工作不落实不作为乱作为、失职失责、弄虚作假的单位和个人，一律严肃追责问责，给予党纪、政纪处分，决不姑息。</w:t>
      </w:r>
    </w:p>
    <w:p>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ascii="仿宋_GB2312" w:eastAsia="仿宋_GB2312"/>
          <w:spacing w:val="-6"/>
          <w:sz w:val="24"/>
          <w:szCs w:val="24"/>
        </w:rPr>
      </w:pPr>
      <w:r>
        <w:rPr>
          <w:rStyle w:val="29"/>
          <w:rFonts w:hint="eastAsia"/>
        </w:rPr>
        <w:t>（四）强化部门联动压实责任。</w:t>
      </w:r>
      <w:r>
        <w:rPr>
          <w:rFonts w:hint="eastAsia" w:ascii="仿宋_GB2312" w:eastAsia="仿宋_GB2312"/>
          <w:sz w:val="24"/>
          <w:szCs w:val="24"/>
        </w:rPr>
        <w:t>各部门要加强协作配合，进一步夯实基层基础工作，各司其职、密切配合，齐抓共管、联防联控，对非法违法采矿行为始终保持高压态势，露头就打，发现一起，查处一起，切实把非法采矿行为遏制在萌芽状态。要强化责任担当，把抓落实作为履职尽责的底线要求，严格工</w:t>
      </w:r>
      <w:r>
        <w:rPr>
          <w:rFonts w:hint="eastAsia" w:ascii="仿宋_GB2312" w:eastAsia="仿宋_GB2312"/>
          <w:spacing w:val="-6"/>
          <w:sz w:val="24"/>
          <w:szCs w:val="24"/>
        </w:rPr>
        <w:t>作标准，明确任务目标，勇挑重担，主动作为。</w:t>
      </w:r>
    </w:p>
    <w:p>
      <w:pPr>
        <w:pageBreakBefore w:val="0"/>
        <w:widowControl w:val="0"/>
        <w:kinsoku/>
        <w:wordWrap/>
        <w:overflowPunct/>
        <w:topLinePunct w:val="0"/>
        <w:autoSpaceDE/>
        <w:autoSpaceDN/>
        <w:bidi w:val="0"/>
        <w:adjustRightInd/>
        <w:spacing w:line="440" w:lineRule="atLeast"/>
        <w:ind w:left="0" w:leftChars="0" w:firstLine="0" w:firstLineChars="0"/>
        <w:textAlignment w:val="auto"/>
        <w:rPr>
          <w:rFonts w:hint="eastAsia" w:ascii="方正小标宋_GBK" w:hAnsi="方正小标宋_GBK" w:eastAsia="方正小标宋_GBK" w:cs="方正小标宋_GBK"/>
          <w:color w:val="FF0000"/>
          <w:sz w:val="42"/>
          <w:szCs w:val="42"/>
        </w:rPr>
        <w:sectPr>
          <w:type w:val="continuous"/>
          <w:pgSz w:w="12240" w:h="16498"/>
          <w:pgMar w:top="1145" w:right="1389" w:bottom="1134" w:left="1389" w:header="1043" w:footer="992" w:gutter="0"/>
          <w:pgNumType w:fmt="decimal"/>
          <w:cols w:equalWidth="0" w:num="2">
            <w:col w:w="4518" w:space="425"/>
            <w:col w:w="4518"/>
          </w:cols>
          <w:rtlGutter w:val="0"/>
          <w:docGrid w:type="lines" w:linePitch="312" w:charSpace="0"/>
        </w:sectPr>
      </w:pPr>
    </w:p>
    <w:p>
      <w:pPr>
        <w:pageBreakBefore w:val="0"/>
        <w:widowControl w:val="0"/>
        <w:kinsoku/>
        <w:wordWrap/>
        <w:overflowPunct/>
        <w:topLinePunct w:val="0"/>
        <w:autoSpaceDE/>
        <w:autoSpaceDN/>
        <w:bidi w:val="0"/>
        <w:adjustRightInd/>
        <w:spacing w:line="440" w:lineRule="atLeast"/>
        <w:textAlignment w:val="auto"/>
        <w:rPr>
          <w:rFonts w:hint="eastAsia" w:ascii="方正小标宋_GBK" w:hAnsi="方正小标宋_GBK" w:eastAsia="方正小标宋_GBK" w:cs="方正小标宋_GBK"/>
          <w:color w:val="FF0000"/>
          <w:sz w:val="42"/>
          <w:szCs w:val="42"/>
        </w:rPr>
      </w:pPr>
      <w:r>
        <w:rPr>
          <w:rFonts w:hint="eastAsia" w:ascii="方正小标宋_GBK" w:hAnsi="方正小标宋_GBK" w:eastAsia="方正小标宋_GBK" w:cs="方正小标宋_GBK"/>
          <w:color w:val="FF0000"/>
          <w:sz w:val="42"/>
          <w:szCs w:val="42"/>
        </w:rPr>
        <w:br w:type="page"/>
      </w:r>
    </w:p>
    <w:p>
      <w:pPr>
        <w:pStyle w:val="2"/>
        <w:bidi w:val="0"/>
        <w:rPr>
          <w:rFonts w:hint="eastAsia"/>
        </w:rPr>
      </w:pPr>
    </w:p>
    <w:p>
      <w:pPr>
        <w:pStyle w:val="2"/>
        <w:bidi w:val="0"/>
        <w:rPr>
          <w:rFonts w:hint="eastAsia"/>
        </w:rPr>
      </w:pPr>
      <w:bookmarkStart w:id="81" w:name="_Toc17719"/>
      <w:bookmarkStart w:id="82" w:name="_Toc19561"/>
      <w:r>
        <w:rPr>
          <w:rFonts w:hint="eastAsia"/>
        </w:rPr>
        <w:t>原平市人民政府办公室</w:t>
      </w:r>
      <w:bookmarkEnd w:id="81"/>
      <w:bookmarkEnd w:id="82"/>
    </w:p>
    <w:p>
      <w:pPr>
        <w:pStyle w:val="2"/>
        <w:bidi w:val="0"/>
        <w:rPr>
          <w:rFonts w:hint="eastAsia"/>
        </w:rPr>
      </w:pPr>
      <w:bookmarkStart w:id="83" w:name="_Toc16667"/>
      <w:bookmarkStart w:id="84" w:name="_Toc21233"/>
      <w:r>
        <w:rPr>
          <w:rFonts w:hint="eastAsia"/>
        </w:rPr>
        <w:t>关于进一步做好全市森林草原防灭火工作的</w:t>
      </w:r>
      <w:bookmarkEnd w:id="83"/>
      <w:bookmarkEnd w:id="84"/>
    </w:p>
    <w:p>
      <w:pPr>
        <w:pStyle w:val="2"/>
        <w:bidi w:val="0"/>
        <w:rPr>
          <w:rFonts w:hint="eastAsia"/>
        </w:rPr>
      </w:pPr>
      <w:bookmarkStart w:id="85" w:name="_Toc17812"/>
      <w:bookmarkStart w:id="86" w:name="_Toc32402"/>
      <w:r>
        <w:rPr>
          <w:rFonts w:hint="eastAsia"/>
        </w:rPr>
        <w:t>通    知</w:t>
      </w:r>
      <w:bookmarkEnd w:id="85"/>
      <w:bookmarkEnd w:id="86"/>
    </w:p>
    <w:p>
      <w:pPr>
        <w:keepNext w:val="0"/>
        <w:keepLines w:val="0"/>
        <w:pageBreakBefore w:val="0"/>
        <w:widowControl w:val="0"/>
        <w:kinsoku/>
        <w:overflowPunct/>
        <w:topLinePunct w:val="0"/>
        <w:autoSpaceDE/>
        <w:autoSpaceDN/>
        <w:bidi w:val="0"/>
        <w:adjustRightInd w:val="0"/>
        <w:snapToGrid w:val="0"/>
        <w:spacing w:line="500" w:lineRule="exact"/>
        <w:ind w:left="0" w:leftChars="0" w:firstLine="0" w:firstLineChars="0"/>
        <w:jc w:val="center"/>
        <w:textAlignment w:val="auto"/>
        <w:rPr>
          <w:rFonts w:hint="eastAsia" w:ascii="仿宋_GB2312" w:hAnsi="宋体" w:eastAsia="仿宋_GB2312" w:cs="宋体"/>
          <w:sz w:val="24"/>
          <w:szCs w:val="24"/>
        </w:rPr>
      </w:pPr>
    </w:p>
    <w:p>
      <w:pPr>
        <w:pStyle w:val="3"/>
        <w:bidi w:val="0"/>
        <w:rPr>
          <w:rFonts w:hint="eastAsia" w:ascii="仿宋_GB2312" w:hAnsi="宋体" w:eastAsia="仿宋_GB2312" w:cs="宋体"/>
          <w:sz w:val="24"/>
          <w:szCs w:val="24"/>
        </w:rPr>
      </w:pPr>
      <w:bookmarkStart w:id="87" w:name="_Toc1839"/>
      <w:r>
        <w:rPr>
          <w:rFonts w:hint="eastAsia"/>
        </w:rPr>
        <w:t>原政办发〔</w:t>
      </w:r>
      <w:r>
        <w:t>2022</w:t>
      </w:r>
      <w:r>
        <w:rPr>
          <w:rFonts w:hint="eastAsia"/>
        </w:rPr>
        <w:t>〕36号</w:t>
      </w:r>
      <w:bookmarkEnd w:id="87"/>
    </w:p>
    <w:p>
      <w:pPr>
        <w:keepNext w:val="0"/>
        <w:keepLines w:val="0"/>
        <w:pageBreakBefore w:val="0"/>
        <w:widowControl w:val="0"/>
        <w:kinsoku/>
        <w:overflowPunct/>
        <w:topLinePunct w:val="0"/>
        <w:autoSpaceDE/>
        <w:autoSpaceDN/>
        <w:bidi w:val="0"/>
        <w:snapToGrid w:val="0"/>
        <w:spacing w:line="500" w:lineRule="exact"/>
        <w:ind w:left="0" w:leftChars="0" w:firstLine="0" w:firstLineChars="0"/>
        <w:textAlignment w:val="auto"/>
        <w:rPr>
          <w:rFonts w:hint="eastAsia" w:ascii="仿宋_GB2312" w:eastAsia="仿宋_GB2312"/>
          <w:sz w:val="24"/>
          <w:szCs w:val="24"/>
        </w:rPr>
        <w:sectPr>
          <w:type w:val="continuous"/>
          <w:pgSz w:w="12240" w:h="16498"/>
          <w:pgMar w:top="1145" w:right="1389" w:bottom="1134" w:left="1389" w:header="1043" w:footer="992" w:gutter="0"/>
          <w:pgNumType w:fmt="decimal"/>
          <w:cols w:space="425"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val="0"/>
        <w:spacing w:line="440" w:lineRule="exact"/>
        <w:ind w:left="0" w:leftChars="0" w:firstLine="0" w:firstLineChars="0"/>
        <w:textAlignment w:val="auto"/>
        <w:rPr>
          <w:rFonts w:hint="eastAsia" w:ascii="仿宋_GB2312" w:eastAsia="仿宋_GB2312"/>
          <w:sz w:val="24"/>
          <w:szCs w:val="24"/>
        </w:rPr>
      </w:pPr>
      <w:r>
        <w:rPr>
          <w:rFonts w:hint="eastAsia" w:ascii="仿宋_GB2312" w:eastAsia="仿宋_GB2312"/>
          <w:sz w:val="24"/>
          <w:szCs w:val="24"/>
        </w:rPr>
        <w:t>各乡（镇）人民政府，各有关单位：</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仿宋_GB2312" w:eastAsia="仿宋_GB2312"/>
          <w:sz w:val="24"/>
          <w:szCs w:val="24"/>
        </w:rPr>
      </w:pPr>
      <w:r>
        <w:rPr>
          <w:rFonts w:hint="eastAsia" w:ascii="仿宋_GB2312" w:eastAsia="仿宋_GB2312"/>
          <w:sz w:val="24"/>
          <w:szCs w:val="24"/>
        </w:rPr>
        <w:t>当前，全市即将进入森林草原防灭火期。为全面贯彻落实全国、全省秋冬季森林草原防灭火电视电话会议精神，按照忻州市人民政府森林草原防灭火指挥部要求，切实做好我市秋冬季森林草原防灭火工作，保障我市森林草原资源安全和人民生命财产安全，结合我市工作实际，就进一步做好全市森林草原防灭火工作事项通知如下：</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Style w:val="29"/>
          <w:rFonts w:hint="eastAsia"/>
        </w:rPr>
        <w:sectPr>
          <w:type w:val="continuous"/>
          <w:pgSz w:w="12240" w:h="16498"/>
          <w:pgMar w:top="1145" w:right="1389" w:bottom="1134" w:left="1389" w:header="1043" w:footer="992" w:gutter="0"/>
          <w:pgNumType w:fmt="decimal"/>
          <w:cols w:space="425"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仿宋_GB2312" w:eastAsia="仿宋_GB2312"/>
          <w:sz w:val="24"/>
          <w:szCs w:val="24"/>
        </w:rPr>
      </w:pPr>
      <w:r>
        <w:rPr>
          <w:rStyle w:val="38"/>
          <w:rFonts w:hint="eastAsia"/>
          <w:sz w:val="24"/>
          <w:szCs w:val="24"/>
        </w:rPr>
        <w:t>一、增强大局意识。</w:t>
      </w:r>
      <w:r>
        <w:rPr>
          <w:rFonts w:hint="eastAsia" w:ascii="仿宋_GB2312" w:eastAsia="仿宋_GB2312"/>
          <w:sz w:val="24"/>
          <w:szCs w:val="24"/>
        </w:rPr>
        <w:t>今年秋冬季，我市森林草原防灭火工作形势依然十分严峻。一是自然条件十分不利。进入秋冬季节，随着大风天气增多，植被枯萎，森林草原防灭火面临更大的挑战；二是火险隐患仍然突出。林区民俗用火时有发生，火源管控难度大；三是管护的薄弱环节比较突出。一些地方巡查管护不到位，扑火装备落后，交通和通讯工具短缺。因此，各有关单位要有清醒的认识，要进一步增强大局意识和政治意识，坚决克服任何麻痹思想，狠抓落实，努力做好今年秋冬季森林草原防灭火工作。</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仿宋_GB2312" w:eastAsia="仿宋_GB2312"/>
          <w:sz w:val="24"/>
          <w:szCs w:val="24"/>
        </w:rPr>
      </w:pPr>
      <w:r>
        <w:rPr>
          <w:rStyle w:val="38"/>
          <w:rFonts w:hint="eastAsia"/>
          <w:sz w:val="24"/>
          <w:szCs w:val="24"/>
        </w:rPr>
        <w:t>二、强化组织领导。</w:t>
      </w:r>
      <w:r>
        <w:rPr>
          <w:rFonts w:hint="eastAsia" w:ascii="仿宋_GB2312" w:eastAsia="仿宋_GB2312"/>
          <w:sz w:val="24"/>
          <w:szCs w:val="24"/>
        </w:rPr>
        <w:t>一是进一步建立健全组织领导机构。各乡（镇、街道）、各森林经营管理单位和各森林草原防灭火区行政村（社区），都要成立由行政“一把手”挂帅的森林草原防灭火领导小组，切实加强对森林草原防灭火工作的组织领导。乡（镇、街道）党政“一把手”，派出所所长为森林草原防火第一责任人；二是要全面落实好森林草原防灭火责任。各乡（镇、街道）、各林场要对本辖区内森林草原防灭火工作全面负责。要通过层层签订森林防灭火责任书，划定责任区，市森林草原防灭火指挥部成员单位要按照各自的职责落实到位。把森林草原防灭火的政府责任、部门责任、主体责任、法人责任、管护责任和联防责任全部明确到人、落实到位，实现森林防灭火责任全覆盖。</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仿宋_GB2312" w:eastAsia="仿宋_GB2312"/>
          <w:sz w:val="24"/>
          <w:szCs w:val="24"/>
        </w:rPr>
      </w:pPr>
      <w:r>
        <w:rPr>
          <w:rStyle w:val="38"/>
          <w:rFonts w:hint="eastAsia"/>
          <w:sz w:val="24"/>
          <w:szCs w:val="24"/>
        </w:rPr>
        <w:t>三、加大宣传力度。</w:t>
      </w:r>
      <w:r>
        <w:rPr>
          <w:rFonts w:hint="eastAsia" w:ascii="仿宋_GB2312" w:eastAsia="仿宋_GB2312"/>
          <w:sz w:val="24"/>
          <w:szCs w:val="24"/>
        </w:rPr>
        <w:t>各乡（镇、街道）要把森林草原防灭火宣传教育作为森林草原防灭火工作的重点任务来抓。要加大“严禁一切野外用火”的宣传力度，全面落实“两书一函”制度（责任书、承诺书、提醒函），把社会宣传与媒体宣传有机结合起来，利用宣传车、标志牌、高音喇叭、标语、横幅等社会宣传方式和广播、电视网络、报刊等各种新闻媒体宣传方式。要围绕森林草原防灭火关键阶段、关键部位和关键人群，有针对性地组织开展集中宣传教育，努力形成全市森林草原防灭火良好的社会环境和深厚舆论氛围。</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仿宋_GB2312" w:eastAsia="仿宋_GB2312"/>
          <w:sz w:val="24"/>
          <w:szCs w:val="24"/>
        </w:rPr>
      </w:pPr>
      <w:r>
        <w:rPr>
          <w:rStyle w:val="38"/>
          <w:rFonts w:hint="eastAsia"/>
          <w:sz w:val="24"/>
          <w:szCs w:val="24"/>
        </w:rPr>
        <w:t>四、加大防火经费投入。</w:t>
      </w:r>
      <w:r>
        <w:rPr>
          <w:rFonts w:hint="eastAsia" w:ascii="仿宋_GB2312" w:eastAsia="仿宋_GB2312"/>
          <w:sz w:val="24"/>
          <w:szCs w:val="24"/>
        </w:rPr>
        <w:t>要抓住综合保障环节，抓好防灭火项目建设，着力提升处置能力。加大经费的投入，将森林草原火灾预防费用，管护人员和森林消防专业、半专业队伍建设费用纳入乡级预算，落实到位。积极加强物资储备，提升装备水平，配备必要的交通通信工具和先进高效的扑火机具。物资储备要建有储备台账。</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仿宋_GB2312" w:eastAsia="仿宋_GB2312"/>
          <w:sz w:val="24"/>
          <w:szCs w:val="24"/>
        </w:rPr>
      </w:pPr>
      <w:r>
        <w:rPr>
          <w:rStyle w:val="38"/>
          <w:rFonts w:hint="eastAsia"/>
          <w:sz w:val="24"/>
          <w:szCs w:val="24"/>
        </w:rPr>
        <w:t>五、强化火源管控。</w:t>
      </w:r>
      <w:r>
        <w:rPr>
          <w:rFonts w:hint="eastAsia" w:ascii="仿宋_GB2312" w:eastAsia="仿宋_GB2312"/>
          <w:sz w:val="24"/>
          <w:szCs w:val="24"/>
        </w:rPr>
        <w:t>各乡（镇、街道）要继续开展全天候、高密度、网格化巡查巡护，继续落实完善网格化巡查管护和定点看护两项制度。市林业局、农业农村局、忻州市生态环境局原平分局要组织巡查组全天候进行巡查。市委督查室、市政府督查室要组织督查组对全市森林草原防灭火工作进行专项督查。市公安局要组织各乡镇派出所进行森林草原防火巡查，严厉打击一切野外违规用火行为。</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仿宋_GB2312" w:eastAsia="仿宋_GB2312"/>
          <w:sz w:val="24"/>
          <w:szCs w:val="24"/>
        </w:rPr>
      </w:pPr>
      <w:r>
        <w:rPr>
          <w:rStyle w:val="38"/>
          <w:rFonts w:hint="eastAsia"/>
          <w:sz w:val="24"/>
          <w:szCs w:val="24"/>
        </w:rPr>
        <w:t>六、强化应急准备。</w:t>
      </w:r>
      <w:r>
        <w:rPr>
          <w:rFonts w:hint="eastAsia" w:ascii="仿宋_GB2312" w:eastAsia="仿宋_GB2312"/>
          <w:sz w:val="24"/>
          <w:szCs w:val="24"/>
        </w:rPr>
        <w:t>要进一步完善预测预报、预警响应和火情监测三项机制，及早预报火险和采取跟进响应措施。国庆、元旦节假日期间等防火重点时段，森林草原防灭火工作岗位的干部职工及基层专、兼职管护员一律不放假，坚守工作岗位，加强巡逻巡查，森林消防专业队要全部进入临战状态，集中食宿，加紧备战，全力做好处理突发火情的各项准备。</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仿宋_GB2312" w:eastAsia="仿宋_GB2312"/>
          <w:sz w:val="24"/>
          <w:szCs w:val="24"/>
        </w:rPr>
      </w:pPr>
      <w:r>
        <w:rPr>
          <w:rStyle w:val="38"/>
          <w:rFonts w:hint="eastAsia"/>
          <w:sz w:val="24"/>
          <w:szCs w:val="24"/>
        </w:rPr>
        <w:t>七、强化督促检查。</w:t>
      </w:r>
      <w:r>
        <w:rPr>
          <w:rFonts w:hint="eastAsia" w:ascii="仿宋_GB2312" w:eastAsia="仿宋_GB2312"/>
          <w:sz w:val="24"/>
          <w:szCs w:val="24"/>
        </w:rPr>
        <w:t>要继续动员和组织林区干部群众打好“六清”（即:清秸秆、清坟边、清林缘、清路旁、清地堰、清厂矿周围）活动攻坚战，积极开展“秸秆杂草清零”行动，重点组织好林缘300米范围内的清理工作。要切实做好安全大检查、隐患大排除、问题大整改工作。市森林草原防灭火指挥部成员单位要组织督查组，在防火期内对所包乡（镇、街道）、林场森林草原防灭火工作的安排部署和火险隐患排查整改情况进行经常性全面督查。对检查中存在的问题和隐患，要现场下发隐患整改通知书，责令限期整改，确保不留隐患。对于存在的重大隐患，特别是责任没有落实到位、没有履行安全职责的，建议纪委监委部门，严肃追究有关人员的责任，并给予相应的党纪政纪处分。</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仿宋_GB2312" w:eastAsia="仿宋_GB2312"/>
          <w:sz w:val="24"/>
          <w:szCs w:val="24"/>
        </w:rPr>
      </w:pPr>
      <w:r>
        <w:rPr>
          <w:rStyle w:val="38"/>
          <w:rFonts w:hint="eastAsia"/>
          <w:sz w:val="24"/>
          <w:szCs w:val="24"/>
        </w:rPr>
        <w:t>八、开展培训演练。</w:t>
      </w:r>
      <w:r>
        <w:rPr>
          <w:rFonts w:hint="eastAsia" w:ascii="仿宋_GB2312" w:eastAsia="仿宋_GB2312"/>
          <w:sz w:val="24"/>
          <w:szCs w:val="24"/>
        </w:rPr>
        <w:t>各乡（镇、街道）要对森林草原防灭火培训演练工作高度重视，尽快做出安排部署，力争在秋冬季森林草原防灭火期到来之前，把各乡（镇、街道）森林草原防火指挥员、森林消防专业、半专业扑火队员以及应急扑火队员全部轮训一遍，进一步提高我市扑救森林草原火灾的组织指挥、应急处置和安全避险能力，提升森林草原防灭火工作科学管理水平。</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仿宋_GB2312" w:eastAsia="仿宋_GB2312"/>
          <w:sz w:val="24"/>
          <w:szCs w:val="24"/>
        </w:rPr>
      </w:pPr>
      <w:r>
        <w:rPr>
          <w:rStyle w:val="38"/>
          <w:rFonts w:hint="eastAsia"/>
          <w:sz w:val="24"/>
          <w:szCs w:val="24"/>
        </w:rPr>
        <w:t>九、加强值班调度。</w:t>
      </w:r>
      <w:r>
        <w:rPr>
          <w:rFonts w:hint="eastAsia" w:ascii="仿宋_GB2312" w:eastAsia="仿宋_GB2312"/>
          <w:sz w:val="24"/>
          <w:szCs w:val="24"/>
        </w:rPr>
        <w:t>各乡（镇、街道）和各涉林单位从即日起继续执行森林草原防火领导带班和24小时双人值班制度、卫星监测热点信息1.5小时反馈制度,确保信息畅通，指挥顺畅。坚决杜绝多头上报、越级上报和迟报、瞒报、误报现象的发生。要严格落实“有火必报”“报扑同步”制度，及时准确规范的报送火情信息。一旦接到火情信息，要迅速调动当地专业半专业扑火队、应急扑火队赶赴火场进行扑救。</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仿宋_GB2312" w:eastAsia="仿宋_GB2312"/>
          <w:sz w:val="24"/>
          <w:szCs w:val="24"/>
        </w:rPr>
      </w:pPr>
      <w:r>
        <w:rPr>
          <w:rFonts w:hint="eastAsia" w:ascii="仿宋_GB2312" w:eastAsia="仿宋_GB2312"/>
          <w:sz w:val="24"/>
          <w:szCs w:val="24"/>
        </w:rPr>
        <w:t>各乡（镇、街道）及有关单位要及早安排部署，做好宣传，广泛发动，积极行动，认真落实，扎实做好秋冬季的森林草原防灭火工作，确保我市不发生森林草原火情。</w:t>
      </w:r>
    </w:p>
    <w:p>
      <w:pPr>
        <w:keepNext w:val="0"/>
        <w:keepLines w:val="0"/>
        <w:pageBreakBefore w:val="0"/>
        <w:widowControl w:val="0"/>
        <w:kinsoku/>
        <w:wordWrap/>
        <w:overflowPunct/>
        <w:topLinePunct w:val="0"/>
        <w:autoSpaceDE/>
        <w:autoSpaceDN/>
        <w:bidi w:val="0"/>
        <w:adjustRightInd/>
        <w:snapToGrid w:val="0"/>
        <w:spacing w:line="440" w:lineRule="exact"/>
        <w:jc w:val="right"/>
        <w:textAlignment w:val="auto"/>
        <w:rPr>
          <w:rFonts w:hint="eastAsia" w:ascii="仿宋_GB2312" w:eastAsia="仿宋_GB2312"/>
          <w:sz w:val="24"/>
          <w:szCs w:val="24"/>
        </w:rPr>
      </w:pP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仿宋_GB2312" w:hAnsi="宋体" w:eastAsia="仿宋_GB2312" w:cs="Arial"/>
          <w:bCs/>
          <w:color w:val="000000"/>
          <w:sz w:val="24"/>
          <w:szCs w:val="24"/>
        </w:rPr>
      </w:pPr>
    </w:p>
    <w:p>
      <w:pPr>
        <w:keepNext w:val="0"/>
        <w:keepLines w:val="0"/>
        <w:pageBreakBefore w:val="0"/>
        <w:widowControl w:val="0"/>
        <w:kinsoku/>
        <w:wordWrap/>
        <w:overflowPunct/>
        <w:topLinePunct w:val="0"/>
        <w:autoSpaceDE/>
        <w:autoSpaceDN/>
        <w:bidi w:val="0"/>
        <w:adjustRightInd/>
        <w:snapToGrid w:val="0"/>
        <w:spacing w:line="440" w:lineRule="exact"/>
        <w:ind w:left="0" w:leftChars="0" w:firstLine="0" w:firstLineChars="0"/>
        <w:jc w:val="center"/>
        <w:textAlignment w:val="auto"/>
        <w:rPr>
          <w:rFonts w:hint="eastAsia" w:ascii="仿宋_GB2312" w:eastAsia="仿宋_GB2312"/>
          <w:sz w:val="24"/>
          <w:szCs w:val="24"/>
        </w:rPr>
      </w:pPr>
      <w:r>
        <w:rPr>
          <w:rFonts w:hint="eastAsia" w:ascii="仿宋_GB2312" w:eastAsia="仿宋_GB2312"/>
          <w:sz w:val="24"/>
          <w:szCs w:val="24"/>
        </w:rPr>
        <w:t>原平市人民政府办公室</w:t>
      </w:r>
    </w:p>
    <w:p>
      <w:pPr>
        <w:keepNext w:val="0"/>
        <w:keepLines w:val="0"/>
        <w:pageBreakBefore w:val="0"/>
        <w:widowControl w:val="0"/>
        <w:kinsoku/>
        <w:wordWrap/>
        <w:overflowPunct/>
        <w:topLinePunct w:val="0"/>
        <w:autoSpaceDE/>
        <w:autoSpaceDN/>
        <w:bidi w:val="0"/>
        <w:adjustRightInd/>
        <w:snapToGrid w:val="0"/>
        <w:spacing w:line="440" w:lineRule="exact"/>
        <w:ind w:left="0" w:leftChars="0" w:firstLine="0" w:firstLineChars="0"/>
        <w:jc w:val="center"/>
        <w:textAlignment w:val="auto"/>
        <w:rPr>
          <w:rFonts w:hint="eastAsia" w:ascii="仿宋_GB2312" w:eastAsia="仿宋_GB2312"/>
          <w:sz w:val="24"/>
          <w:szCs w:val="24"/>
        </w:rPr>
        <w:sectPr>
          <w:type w:val="continuous"/>
          <w:pgSz w:w="12240" w:h="16498"/>
          <w:pgMar w:top="1145" w:right="1389" w:bottom="1134" w:left="1389" w:header="1043" w:footer="992" w:gutter="0"/>
          <w:pgNumType w:fmt="decimal"/>
          <w:cols w:equalWidth="0" w:num="2">
            <w:col w:w="4518" w:space="425"/>
            <w:col w:w="4518"/>
          </w:cols>
          <w:rtlGutter w:val="0"/>
          <w:docGrid w:type="lines" w:linePitch="312" w:charSpace="0"/>
        </w:sectPr>
      </w:pPr>
      <w:r>
        <w:rPr>
          <w:rFonts w:hint="eastAsia"/>
          <w:sz w:val="24"/>
          <w:szCs w:val="24"/>
          <w:lang w:val="en-US" w:eastAsia="zh-CN"/>
        </w:rPr>
        <w:t>2</w:t>
      </w:r>
      <w:r>
        <w:rPr>
          <w:rFonts w:hint="eastAsia" w:ascii="仿宋_GB2312" w:eastAsia="仿宋_GB2312"/>
          <w:sz w:val="24"/>
          <w:szCs w:val="24"/>
        </w:rPr>
        <w:t>022年9月26日</w:t>
      </w:r>
    </w:p>
    <w:p>
      <w:pPr>
        <w:keepNext w:val="0"/>
        <w:keepLines w:val="0"/>
        <w:pageBreakBefore w:val="0"/>
        <w:widowControl w:val="0"/>
        <w:kinsoku/>
        <w:overflowPunct/>
        <w:topLinePunct w:val="0"/>
        <w:autoSpaceDE/>
        <w:autoSpaceDN/>
        <w:bidi w:val="0"/>
        <w:snapToGrid w:val="0"/>
        <w:spacing w:line="500" w:lineRule="exact"/>
        <w:ind w:left="0" w:leftChars="0" w:firstLine="6720" w:firstLineChars="2800"/>
        <w:textAlignment w:val="auto"/>
        <w:rPr>
          <w:rFonts w:hint="eastAsia" w:ascii="方正小标宋_GBK" w:hAnsi="方正小标宋_GBK" w:eastAsia="方正小标宋_GBK" w:cs="方正小标宋_GBK"/>
          <w:color w:val="FF0000"/>
          <w:sz w:val="24"/>
          <w:szCs w:val="24"/>
        </w:rPr>
      </w:pPr>
    </w:p>
    <w:p>
      <w:pPr>
        <w:pStyle w:val="2"/>
        <w:bidi w:val="0"/>
        <w:rPr>
          <w:rFonts w:hint="eastAsia"/>
        </w:rPr>
      </w:pPr>
    </w:p>
    <w:p>
      <w:pPr>
        <w:rPr>
          <w:rFonts w:hint="eastAsia"/>
        </w:rPr>
      </w:pPr>
    </w:p>
    <w:p>
      <w:pPr>
        <w:pStyle w:val="2"/>
        <w:bidi w:val="0"/>
        <w:rPr>
          <w:rFonts w:hint="eastAsia"/>
        </w:rPr>
      </w:pPr>
      <w:bookmarkStart w:id="88" w:name="_Toc26353"/>
      <w:bookmarkStart w:id="89" w:name="_Toc12604"/>
      <w:r>
        <w:rPr>
          <w:rFonts w:hint="eastAsia"/>
        </w:rPr>
        <w:t>原平市人民政府办公室</w:t>
      </w:r>
      <w:bookmarkEnd w:id="88"/>
      <w:bookmarkEnd w:id="89"/>
    </w:p>
    <w:p>
      <w:pPr>
        <w:pStyle w:val="2"/>
        <w:bidi w:val="0"/>
        <w:rPr>
          <w:rFonts w:hint="eastAsia"/>
        </w:rPr>
      </w:pPr>
      <w:bookmarkStart w:id="90" w:name="_Toc28408"/>
      <w:bookmarkStart w:id="91" w:name="_Toc4780"/>
      <w:r>
        <w:rPr>
          <w:rFonts w:hint="eastAsia"/>
        </w:rPr>
        <w:t>关于印发原平市爱木图古村落文化休闲生态</w:t>
      </w:r>
      <w:bookmarkEnd w:id="90"/>
      <w:bookmarkEnd w:id="91"/>
    </w:p>
    <w:p>
      <w:pPr>
        <w:pStyle w:val="2"/>
        <w:bidi w:val="0"/>
        <w:rPr>
          <w:rFonts w:hint="eastAsia"/>
        </w:rPr>
      </w:pPr>
      <w:bookmarkStart w:id="92" w:name="_Toc2820"/>
      <w:bookmarkStart w:id="93" w:name="_Toc19111"/>
      <w:r>
        <w:rPr>
          <w:rFonts w:hint="eastAsia"/>
        </w:rPr>
        <w:t>旅游乡村e镇实施方案的通知</w:t>
      </w:r>
      <w:bookmarkEnd w:id="92"/>
      <w:bookmarkEnd w:id="93"/>
    </w:p>
    <w:p>
      <w:pPr>
        <w:keepNext w:val="0"/>
        <w:keepLines w:val="0"/>
        <w:pageBreakBefore w:val="0"/>
        <w:widowControl w:val="0"/>
        <w:kinsoku/>
        <w:overflowPunct/>
        <w:topLinePunct w:val="0"/>
        <w:autoSpaceDE/>
        <w:autoSpaceDN/>
        <w:bidi w:val="0"/>
        <w:adjustRightInd w:val="0"/>
        <w:snapToGrid w:val="0"/>
        <w:spacing w:line="500" w:lineRule="exact"/>
        <w:jc w:val="center"/>
        <w:textAlignment w:val="auto"/>
        <w:rPr>
          <w:rFonts w:hint="eastAsia" w:ascii="仿宋_GB2312" w:hAnsi="宋体" w:eastAsia="仿宋_GB2312" w:cs="宋体"/>
          <w:sz w:val="24"/>
          <w:szCs w:val="24"/>
        </w:rPr>
      </w:pPr>
    </w:p>
    <w:p>
      <w:pPr>
        <w:pStyle w:val="3"/>
        <w:bidi w:val="0"/>
      </w:pPr>
      <w:bookmarkStart w:id="94" w:name="_Toc22964"/>
      <w:r>
        <w:rPr>
          <w:rFonts w:hint="eastAsia"/>
        </w:rPr>
        <w:t>原政办发〔</w:t>
      </w:r>
      <w:r>
        <w:t>202</w:t>
      </w:r>
      <w:r>
        <w:rPr>
          <w:rFonts w:hint="eastAsia"/>
        </w:rPr>
        <w:t>2〕37号</w:t>
      </w:r>
      <w:bookmarkEnd w:id="94"/>
    </w:p>
    <w:p>
      <w:pPr>
        <w:keepNext w:val="0"/>
        <w:keepLines w:val="0"/>
        <w:pageBreakBefore w:val="0"/>
        <w:widowControl w:val="0"/>
        <w:kinsoku/>
        <w:overflowPunct/>
        <w:topLinePunct w:val="0"/>
        <w:autoSpaceDE/>
        <w:autoSpaceDN/>
        <w:bidi w:val="0"/>
        <w:snapToGrid w:val="0"/>
        <w:spacing w:line="500" w:lineRule="exact"/>
        <w:jc w:val="center"/>
        <w:textAlignment w:val="auto"/>
        <w:rPr>
          <w:rFonts w:hint="eastAsia" w:ascii="方正小标宋简体" w:hAnsi="宋体" w:eastAsia="方正小标宋简体"/>
          <w:bCs/>
          <w:sz w:val="24"/>
          <w:szCs w:val="24"/>
          <w:lang w:eastAsia="zh-CN"/>
        </w:rPr>
      </w:pPr>
    </w:p>
    <w:p>
      <w:pPr>
        <w:keepNext w:val="0"/>
        <w:keepLines w:val="0"/>
        <w:pageBreakBefore w:val="0"/>
        <w:widowControl w:val="0"/>
        <w:kinsoku/>
        <w:overflowPunct/>
        <w:topLinePunct w:val="0"/>
        <w:autoSpaceDE/>
        <w:autoSpaceDN/>
        <w:bidi w:val="0"/>
        <w:snapToGrid w:val="0"/>
        <w:spacing w:line="500" w:lineRule="exact"/>
        <w:ind w:left="0" w:leftChars="0" w:firstLine="0" w:firstLineChars="0"/>
        <w:jc w:val="left"/>
        <w:textAlignment w:val="auto"/>
        <w:rPr>
          <w:rFonts w:hint="eastAsia" w:ascii="仿宋_GB2312" w:hAnsi="仿宋" w:eastAsia="仿宋_GB2312"/>
          <w:sz w:val="24"/>
          <w:szCs w:val="24"/>
        </w:rPr>
      </w:pPr>
      <w:r>
        <w:rPr>
          <w:rFonts w:hint="eastAsia" w:ascii="仿宋_GB2312" w:hAnsi="仿宋" w:eastAsia="仿宋_GB2312"/>
          <w:sz w:val="24"/>
          <w:szCs w:val="24"/>
        </w:rPr>
        <w:t>各乡（镇）人民政府，各有关单位：</w:t>
      </w:r>
    </w:p>
    <w:p>
      <w:pPr>
        <w:keepNext w:val="0"/>
        <w:keepLines w:val="0"/>
        <w:pageBreakBefore w:val="0"/>
        <w:widowControl w:val="0"/>
        <w:kinsoku/>
        <w:overflowPunct/>
        <w:topLinePunct w:val="0"/>
        <w:autoSpaceDE/>
        <w:autoSpaceDN/>
        <w:bidi w:val="0"/>
        <w:snapToGrid w:val="0"/>
        <w:spacing w:line="500" w:lineRule="exact"/>
        <w:ind w:firstLine="480" w:firstLineChars="200"/>
        <w:textAlignment w:val="auto"/>
        <w:rPr>
          <w:rFonts w:hint="eastAsia" w:ascii="仿宋_GB2312" w:eastAsia="仿宋_GB2312"/>
          <w:sz w:val="24"/>
          <w:szCs w:val="24"/>
        </w:rPr>
      </w:pPr>
      <w:r>
        <w:rPr>
          <w:rFonts w:hint="eastAsia" w:ascii="仿宋_GB2312" w:eastAsia="仿宋_GB2312"/>
          <w:sz w:val="24"/>
          <w:szCs w:val="24"/>
        </w:rPr>
        <w:t>《</w:t>
      </w:r>
      <w:r>
        <w:rPr>
          <w:rFonts w:hint="eastAsia" w:ascii="仿宋_GB2312" w:eastAsia="仿宋_GB2312"/>
          <w:bCs/>
          <w:sz w:val="24"/>
          <w:szCs w:val="24"/>
        </w:rPr>
        <w:t>原平市爱木图古村落文化休闲生态旅游乡村</w:t>
      </w:r>
      <w:r>
        <w:rPr>
          <w:rFonts w:ascii="仿宋_GB2312" w:eastAsia="仿宋_GB2312"/>
          <w:bCs/>
          <w:sz w:val="24"/>
          <w:szCs w:val="24"/>
        </w:rPr>
        <w:t>e</w:t>
      </w:r>
      <w:r>
        <w:rPr>
          <w:rFonts w:hint="eastAsia" w:ascii="仿宋_GB2312" w:eastAsia="仿宋_GB2312"/>
          <w:bCs/>
          <w:sz w:val="24"/>
          <w:szCs w:val="24"/>
        </w:rPr>
        <w:t>镇实施方案</w:t>
      </w:r>
      <w:r>
        <w:rPr>
          <w:rFonts w:hint="eastAsia" w:ascii="仿宋_GB2312" w:eastAsia="仿宋_GB2312"/>
          <w:sz w:val="24"/>
          <w:szCs w:val="24"/>
        </w:rPr>
        <w:t>》已经市政府研究同意，现印发给你们，请认真贯彻落实。</w:t>
      </w:r>
    </w:p>
    <w:p>
      <w:pPr>
        <w:keepNext w:val="0"/>
        <w:keepLines w:val="0"/>
        <w:pageBreakBefore w:val="0"/>
        <w:widowControl w:val="0"/>
        <w:kinsoku/>
        <w:overflowPunct/>
        <w:topLinePunct w:val="0"/>
        <w:autoSpaceDE/>
        <w:autoSpaceDN/>
        <w:bidi w:val="0"/>
        <w:snapToGrid w:val="0"/>
        <w:spacing w:line="500" w:lineRule="exact"/>
        <w:jc w:val="left"/>
        <w:textAlignment w:val="auto"/>
        <w:rPr>
          <w:rFonts w:hint="eastAsia" w:ascii="仿宋_GB2312" w:hAnsi="仿宋" w:eastAsia="仿宋_GB2312"/>
          <w:sz w:val="24"/>
          <w:szCs w:val="24"/>
        </w:rPr>
      </w:pPr>
    </w:p>
    <w:p>
      <w:pPr>
        <w:keepNext w:val="0"/>
        <w:keepLines w:val="0"/>
        <w:pageBreakBefore w:val="0"/>
        <w:widowControl w:val="0"/>
        <w:kinsoku/>
        <w:overflowPunct/>
        <w:topLinePunct w:val="0"/>
        <w:autoSpaceDE/>
        <w:autoSpaceDN/>
        <w:bidi w:val="0"/>
        <w:snapToGrid w:val="0"/>
        <w:spacing w:line="500" w:lineRule="exact"/>
        <w:jc w:val="left"/>
        <w:textAlignment w:val="auto"/>
        <w:rPr>
          <w:rFonts w:hint="eastAsia" w:ascii="仿宋_GB2312" w:hAnsi="仿宋" w:eastAsia="仿宋_GB2312"/>
          <w:sz w:val="24"/>
          <w:szCs w:val="24"/>
        </w:rPr>
      </w:pPr>
    </w:p>
    <w:p>
      <w:pPr>
        <w:keepNext w:val="0"/>
        <w:keepLines w:val="0"/>
        <w:pageBreakBefore w:val="0"/>
        <w:widowControl w:val="0"/>
        <w:kinsoku/>
        <w:wordWrap/>
        <w:overflowPunct/>
        <w:topLinePunct w:val="0"/>
        <w:autoSpaceDE/>
        <w:autoSpaceDN/>
        <w:bidi w:val="0"/>
        <w:snapToGrid w:val="0"/>
        <w:spacing w:line="500" w:lineRule="exact"/>
        <w:ind w:leftChars="1900"/>
        <w:jc w:val="center"/>
        <w:textAlignment w:val="auto"/>
        <w:rPr>
          <w:rFonts w:hint="eastAsia" w:ascii="仿宋_GB2312" w:hAnsi="仿宋" w:eastAsia="仿宋_GB2312"/>
          <w:sz w:val="24"/>
          <w:szCs w:val="24"/>
        </w:rPr>
      </w:pPr>
      <w:r>
        <w:rPr>
          <w:rFonts w:hint="eastAsia" w:ascii="仿宋_GB2312" w:hAnsi="仿宋" w:eastAsia="仿宋_GB2312"/>
          <w:sz w:val="24"/>
          <w:szCs w:val="24"/>
        </w:rPr>
        <w:t>原平市人民政府办公室</w:t>
      </w:r>
    </w:p>
    <w:p>
      <w:pPr>
        <w:keepNext w:val="0"/>
        <w:keepLines w:val="0"/>
        <w:pageBreakBefore w:val="0"/>
        <w:widowControl w:val="0"/>
        <w:kinsoku/>
        <w:wordWrap w:val="0"/>
        <w:overflowPunct/>
        <w:topLinePunct w:val="0"/>
        <w:autoSpaceDE/>
        <w:autoSpaceDN/>
        <w:bidi w:val="0"/>
        <w:snapToGrid w:val="0"/>
        <w:spacing w:line="500" w:lineRule="exact"/>
        <w:ind w:leftChars="1900"/>
        <w:jc w:val="center"/>
        <w:textAlignment w:val="auto"/>
        <w:rPr>
          <w:rFonts w:hint="eastAsia" w:ascii="仿宋_GB2312" w:eastAsia="仿宋_GB2312"/>
          <w:sz w:val="32"/>
          <w:szCs w:val="32"/>
        </w:rPr>
      </w:pPr>
      <w:r>
        <w:rPr>
          <w:rFonts w:hint="eastAsia" w:ascii="仿宋_GB2312" w:hAnsi="仿宋" w:eastAsia="仿宋_GB2312"/>
          <w:sz w:val="24"/>
          <w:szCs w:val="24"/>
        </w:rPr>
        <w:t>2022年9月26日</w:t>
      </w:r>
    </w:p>
    <w:p>
      <w:pPr>
        <w:pStyle w:val="2"/>
        <w:bidi w:val="0"/>
        <w:rPr>
          <w:rFonts w:hint="eastAsia"/>
        </w:rPr>
      </w:pPr>
    </w:p>
    <w:p>
      <w:pPr>
        <w:pStyle w:val="32"/>
        <w:bidi w:val="0"/>
        <w:rPr>
          <w:rFonts w:hint="eastAsia"/>
        </w:rPr>
      </w:pPr>
      <w:bookmarkStart w:id="95" w:name="_Toc30399"/>
      <w:r>
        <w:rPr>
          <w:rFonts w:hint="eastAsia"/>
        </w:rPr>
        <w:t>原平市爱木图古村落文化休闲生态旅游</w:t>
      </w:r>
      <w:bookmarkEnd w:id="95"/>
    </w:p>
    <w:p>
      <w:pPr>
        <w:pStyle w:val="32"/>
        <w:bidi w:val="0"/>
        <w:rPr>
          <w:rFonts w:hint="eastAsia"/>
        </w:rPr>
      </w:pPr>
      <w:bookmarkStart w:id="96" w:name="_Toc9658"/>
      <w:r>
        <w:rPr>
          <w:rFonts w:hint="eastAsia"/>
        </w:rPr>
        <w:t>乡村e镇实施方案</w:t>
      </w:r>
      <w:bookmarkEnd w:id="96"/>
    </w:p>
    <w:p>
      <w:pPr>
        <w:pStyle w:val="12"/>
        <w:spacing w:line="540" w:lineRule="exact"/>
      </w:pPr>
    </w:p>
    <w:p>
      <w:pPr>
        <w:keepNext w:val="0"/>
        <w:keepLines w:val="0"/>
        <w:pageBreakBefore w:val="0"/>
        <w:widowControl w:val="0"/>
        <w:kinsoku/>
        <w:wordWrap/>
        <w:overflowPunct/>
        <w:topLinePunct w:val="0"/>
        <w:autoSpaceDE/>
        <w:autoSpaceDN/>
        <w:bidi w:val="0"/>
        <w:adjustRightInd/>
        <w:snapToGrid w:val="0"/>
        <w:spacing w:line="500" w:lineRule="exact"/>
        <w:ind w:firstLine="520" w:firstLineChars="200"/>
        <w:textAlignment w:val="baseline"/>
        <w:outlineLvl w:val="0"/>
        <w:rPr>
          <w:rFonts w:hint="eastAsia" w:ascii="黑体" w:hAnsi="黑体" w:eastAsia="黑体" w:cs="黑体"/>
          <w:color w:val="000000"/>
          <w:kern w:val="0"/>
          <w:sz w:val="26"/>
          <w:szCs w:val="26"/>
        </w:rPr>
        <w:sectPr>
          <w:type w:val="continuous"/>
          <w:pgSz w:w="12240" w:h="16498"/>
          <w:pgMar w:top="1145" w:right="1389" w:bottom="1134" w:left="1389" w:header="1043" w:footer="992" w:gutter="0"/>
          <w:pgNumType w:fmt="decimal"/>
          <w:cols w:space="425"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val="0"/>
        <w:spacing w:line="480" w:lineRule="exact"/>
        <w:ind w:firstLine="520" w:firstLineChars="200"/>
        <w:textAlignment w:val="baseline"/>
        <w:outlineLvl w:val="9"/>
        <w:rPr>
          <w:rFonts w:ascii="黑体" w:hAnsi="黑体" w:eastAsia="黑体" w:cs="黑体"/>
          <w:color w:val="000000"/>
          <w:kern w:val="0"/>
          <w:sz w:val="26"/>
          <w:szCs w:val="26"/>
        </w:rPr>
      </w:pPr>
      <w:bookmarkStart w:id="97" w:name="_Toc27890"/>
      <w:r>
        <w:rPr>
          <w:rFonts w:hint="eastAsia" w:ascii="黑体" w:hAnsi="黑体" w:eastAsia="黑体" w:cs="黑体"/>
          <w:color w:val="000000"/>
          <w:kern w:val="0"/>
          <w:sz w:val="26"/>
          <w:szCs w:val="26"/>
        </w:rPr>
        <w:t>一、指导思想</w:t>
      </w:r>
      <w:bookmarkEnd w:id="97"/>
    </w:p>
    <w:p>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outlineLvl w:val="9"/>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以习近平新时代中国特色社会主义思想为指导，全面贯彻落实党的十九大和十九届历次全会精神，深入贯彻落实习近平总书记考察调研山西重要指示精神，按照省委全方位推动高质量发展的目标要求，坚持以人民为中心的发展理念，充分发挥市场在资源配置中的决定性作用，更好发挥政府作用，因地制宜，实事求是，建设市场主体集聚平台。以我市特色产业发展为核心，坚持创新驱动、绿色发展，着力提升供给效率水平，以提升电商应用水平为重点，线上线下融合为抓手，培育壮大市场主体，充分激发市场主体活力和内生动力，为我市经济社会持续健康发展提供新动能、新平台、新支撑，助推乡村振兴，全方位推动高质量发展。</w:t>
      </w:r>
    </w:p>
    <w:p>
      <w:pPr>
        <w:keepNext w:val="0"/>
        <w:keepLines w:val="0"/>
        <w:pageBreakBefore w:val="0"/>
        <w:widowControl w:val="0"/>
        <w:kinsoku/>
        <w:wordWrap/>
        <w:overflowPunct/>
        <w:topLinePunct w:val="0"/>
        <w:autoSpaceDE/>
        <w:autoSpaceDN/>
        <w:bidi w:val="0"/>
        <w:adjustRightInd/>
        <w:snapToGrid w:val="0"/>
        <w:spacing w:line="480" w:lineRule="exact"/>
        <w:ind w:firstLine="520" w:firstLineChars="200"/>
        <w:textAlignment w:val="baseline"/>
        <w:outlineLvl w:val="9"/>
        <w:rPr>
          <w:rFonts w:hint="eastAsia" w:ascii="黑体" w:hAnsi="黑体" w:eastAsia="黑体" w:cs="黑体"/>
          <w:color w:val="000000"/>
          <w:kern w:val="0"/>
          <w:sz w:val="26"/>
          <w:szCs w:val="26"/>
        </w:rPr>
      </w:pPr>
      <w:bookmarkStart w:id="98" w:name="_Toc4353"/>
      <w:r>
        <w:rPr>
          <w:rFonts w:hint="eastAsia" w:ascii="黑体" w:hAnsi="黑体" w:eastAsia="黑体" w:cs="黑体"/>
          <w:color w:val="000000"/>
          <w:kern w:val="0"/>
          <w:sz w:val="26"/>
          <w:szCs w:val="26"/>
        </w:rPr>
        <w:t>二、基本原则</w:t>
      </w:r>
      <w:bookmarkEnd w:id="98"/>
    </w:p>
    <w:p>
      <w:pPr>
        <w:pStyle w:val="5"/>
        <w:pageBreakBefore w:val="0"/>
        <w:widowControl w:val="0"/>
        <w:kinsoku/>
        <w:wordWrap/>
        <w:overflowPunct/>
        <w:topLinePunct w:val="0"/>
        <w:autoSpaceDE/>
        <w:autoSpaceDN/>
        <w:bidi w:val="0"/>
        <w:adjustRightInd/>
        <w:snapToGrid w:val="0"/>
        <w:spacing w:line="480" w:lineRule="exact"/>
      </w:pPr>
      <w:bookmarkStart w:id="99" w:name="_Toc5402"/>
      <w:r>
        <w:rPr>
          <w:rFonts w:hint="eastAsia"/>
        </w:rPr>
        <w:t>（一）市场主导，政府引导</w:t>
      </w:r>
      <w:bookmarkEnd w:id="99"/>
    </w:p>
    <w:p>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outlineLvl w:val="9"/>
        <w:rPr>
          <w:rFonts w:ascii="仿宋_GB2312" w:hAnsi="仿宋_GB2312" w:eastAsia="仿宋_GB2312" w:cs="仿宋_GB2312"/>
          <w:b/>
          <w:bCs/>
          <w:kern w:val="0"/>
          <w:sz w:val="24"/>
          <w:szCs w:val="24"/>
        </w:rPr>
      </w:pPr>
      <w:r>
        <w:rPr>
          <w:rFonts w:hint="eastAsia" w:ascii="仿宋_GB2312" w:hAnsi="仿宋_GB2312" w:eastAsia="仿宋_GB2312" w:cs="仿宋_GB2312"/>
          <w:kern w:val="0"/>
          <w:sz w:val="24"/>
          <w:szCs w:val="24"/>
        </w:rPr>
        <w:t>充分发挥市政府及有关工作部门的职能，着力完善政策和工作机制，优化服务、加强监管、总结经验、推广典型模式，为培育乡村</w:t>
      </w:r>
      <w:r>
        <w:rPr>
          <w:rFonts w:ascii="仿宋_GB2312" w:hAnsi="仿宋_GB2312" w:eastAsia="仿宋_GB2312" w:cs="仿宋_GB2312"/>
          <w:kern w:val="0"/>
          <w:sz w:val="24"/>
          <w:szCs w:val="24"/>
        </w:rPr>
        <w:t>e</w:t>
      </w:r>
      <w:r>
        <w:rPr>
          <w:rFonts w:hint="eastAsia" w:ascii="仿宋_GB2312" w:hAnsi="仿宋_GB2312" w:eastAsia="仿宋_GB2312" w:cs="仿宋_GB2312"/>
          <w:kern w:val="0"/>
          <w:sz w:val="24"/>
          <w:szCs w:val="24"/>
        </w:rPr>
        <w:t>镇工作创造开放、包容、公平的政策环境。坚持市场导向，充分发挥市场在资源配置中的决定性作用，积极引导社会资本参与乡村</w:t>
      </w:r>
      <w:r>
        <w:rPr>
          <w:rFonts w:ascii="仿宋_GB2312" w:hAnsi="仿宋_GB2312" w:eastAsia="仿宋_GB2312" w:cs="仿宋_GB2312"/>
          <w:kern w:val="0"/>
          <w:sz w:val="24"/>
          <w:szCs w:val="24"/>
        </w:rPr>
        <w:t>e</w:t>
      </w:r>
      <w:r>
        <w:rPr>
          <w:rFonts w:hint="eastAsia" w:ascii="仿宋_GB2312" w:hAnsi="仿宋_GB2312" w:eastAsia="仿宋_GB2312" w:cs="仿宋_GB2312"/>
          <w:kern w:val="0"/>
          <w:sz w:val="24"/>
          <w:szCs w:val="24"/>
        </w:rPr>
        <w:t>镇建设，充分激发乡村市场主体活力和内生动力，促进乡村</w:t>
      </w:r>
      <w:r>
        <w:rPr>
          <w:rFonts w:ascii="仿宋_GB2312" w:hAnsi="仿宋_GB2312" w:eastAsia="仿宋_GB2312" w:cs="仿宋_GB2312"/>
          <w:kern w:val="0"/>
          <w:sz w:val="24"/>
          <w:szCs w:val="24"/>
        </w:rPr>
        <w:t>e</w:t>
      </w:r>
      <w:r>
        <w:rPr>
          <w:rFonts w:hint="eastAsia" w:ascii="仿宋_GB2312" w:hAnsi="仿宋_GB2312" w:eastAsia="仿宋_GB2312" w:cs="仿宋_GB2312"/>
          <w:kern w:val="0"/>
          <w:sz w:val="24"/>
          <w:szCs w:val="24"/>
        </w:rPr>
        <w:t>镇可持续高质量发展。市政府优化政策供给、提升服务和治理水平，营造公平营商环境和放心消费环境。</w:t>
      </w:r>
    </w:p>
    <w:p>
      <w:pPr>
        <w:pStyle w:val="5"/>
        <w:pageBreakBefore w:val="0"/>
        <w:widowControl w:val="0"/>
        <w:kinsoku/>
        <w:wordWrap/>
        <w:overflowPunct/>
        <w:topLinePunct w:val="0"/>
        <w:autoSpaceDE/>
        <w:autoSpaceDN/>
        <w:bidi w:val="0"/>
        <w:adjustRightInd/>
        <w:snapToGrid w:val="0"/>
        <w:spacing w:line="480" w:lineRule="exact"/>
      </w:pPr>
      <w:bookmarkStart w:id="100" w:name="_Toc24493"/>
      <w:r>
        <w:rPr>
          <w:rFonts w:hint="eastAsia"/>
        </w:rPr>
        <w:t>（二）因地制宜，鼓励创新</w:t>
      </w:r>
      <w:bookmarkEnd w:id="100"/>
    </w:p>
    <w:p>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outlineLvl w:val="9"/>
        <w:rPr>
          <w:rFonts w:ascii="仿宋_GB2312" w:hAnsi="仿宋_GB2312" w:eastAsia="仿宋_GB2312" w:cs="仿宋_GB2312"/>
          <w:b/>
          <w:bCs/>
          <w:kern w:val="0"/>
          <w:sz w:val="24"/>
          <w:szCs w:val="24"/>
        </w:rPr>
      </w:pPr>
      <w:r>
        <w:rPr>
          <w:rFonts w:hint="eastAsia" w:ascii="仿宋_GB2312" w:hAnsi="仿宋_GB2312" w:eastAsia="仿宋_GB2312" w:cs="仿宋_GB2312"/>
          <w:kern w:val="0"/>
          <w:sz w:val="24"/>
          <w:szCs w:val="24"/>
        </w:rPr>
        <w:t>立足当前，着眼长远，从实际出发，结合我市资源要素、禀赋条件、特色产业和比较优势，充分尊重乡土文化特点和生产流通规律，挖掘本地最有基础、最具潜力、最能成长壮大的产业。突出产业特色，分层分类，立足区域实际，大胆开拓创新，推广应用流通新技术新模式，推动农村产业转型升级，做强做精主导产业。乡村</w:t>
      </w:r>
      <w:r>
        <w:rPr>
          <w:rFonts w:ascii="仿宋_GB2312" w:hAnsi="仿宋_GB2312" w:eastAsia="仿宋_GB2312" w:cs="仿宋_GB2312"/>
          <w:kern w:val="0"/>
          <w:sz w:val="24"/>
          <w:szCs w:val="24"/>
        </w:rPr>
        <w:t>e</w:t>
      </w:r>
      <w:r>
        <w:rPr>
          <w:rFonts w:hint="eastAsia" w:ascii="仿宋_GB2312" w:hAnsi="仿宋_GB2312" w:eastAsia="仿宋_GB2312" w:cs="仿宋_GB2312"/>
          <w:kern w:val="0"/>
          <w:sz w:val="24"/>
          <w:szCs w:val="24"/>
        </w:rPr>
        <w:t>镇培育与区域经济协调推进，实现电子商务和区域经济融合发展。</w:t>
      </w:r>
    </w:p>
    <w:p>
      <w:pPr>
        <w:pStyle w:val="5"/>
        <w:pageBreakBefore w:val="0"/>
        <w:widowControl w:val="0"/>
        <w:kinsoku/>
        <w:wordWrap/>
        <w:overflowPunct/>
        <w:topLinePunct w:val="0"/>
        <w:autoSpaceDE/>
        <w:autoSpaceDN/>
        <w:bidi w:val="0"/>
        <w:adjustRightInd/>
        <w:snapToGrid w:val="0"/>
        <w:spacing w:line="480" w:lineRule="exact"/>
      </w:pPr>
      <w:bookmarkStart w:id="101" w:name="_Toc17483"/>
      <w:r>
        <w:rPr>
          <w:rFonts w:hint="eastAsia"/>
        </w:rPr>
        <w:t>（三）特色引导，先行先试</w:t>
      </w:r>
      <w:bookmarkEnd w:id="101"/>
    </w:p>
    <w:p>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outlineLvl w:val="9"/>
        <w:rPr>
          <w:rFonts w:ascii="仿宋_GB2312" w:hAnsi="仿宋_GB2312" w:eastAsia="仿宋_GB2312" w:cs="仿宋_GB2312"/>
          <w:b/>
          <w:bCs/>
          <w:kern w:val="0"/>
          <w:sz w:val="24"/>
          <w:szCs w:val="24"/>
        </w:rPr>
      </w:pPr>
      <w:r>
        <w:rPr>
          <w:rFonts w:hint="eastAsia" w:ascii="仿宋_GB2312" w:hAnsi="仿宋_GB2312" w:eastAsia="仿宋_GB2312" w:cs="仿宋_GB2312"/>
          <w:kern w:val="0"/>
          <w:sz w:val="24"/>
          <w:szCs w:val="24"/>
        </w:rPr>
        <w:t>培育壮大市场主体，精准发力，特色化成长，不搞“一刀切” “面子工程”。乡村</w:t>
      </w:r>
      <w:r>
        <w:rPr>
          <w:rFonts w:ascii="仿宋_GB2312" w:hAnsi="仿宋_GB2312" w:eastAsia="仿宋_GB2312" w:cs="仿宋_GB2312"/>
          <w:kern w:val="0"/>
          <w:sz w:val="24"/>
          <w:szCs w:val="24"/>
        </w:rPr>
        <w:t>e</w:t>
      </w:r>
      <w:r>
        <w:rPr>
          <w:rFonts w:hint="eastAsia" w:ascii="仿宋_GB2312" w:hAnsi="仿宋_GB2312" w:eastAsia="仿宋_GB2312" w:cs="仿宋_GB2312"/>
          <w:kern w:val="0"/>
          <w:sz w:val="24"/>
          <w:szCs w:val="24"/>
        </w:rPr>
        <w:t>镇的总体规划、主体功能区建设和我市产业定位相适应，依托小尺度空间集聚细分产业和企业，促进生产力布局优化和产业转型升级。</w:t>
      </w:r>
    </w:p>
    <w:p>
      <w:pPr>
        <w:pStyle w:val="5"/>
        <w:pageBreakBefore w:val="0"/>
        <w:widowControl w:val="0"/>
        <w:kinsoku/>
        <w:wordWrap/>
        <w:overflowPunct/>
        <w:topLinePunct w:val="0"/>
        <w:autoSpaceDE/>
        <w:autoSpaceDN/>
        <w:bidi w:val="0"/>
        <w:adjustRightInd/>
        <w:snapToGrid w:val="0"/>
        <w:spacing w:line="480" w:lineRule="exact"/>
      </w:pPr>
      <w:bookmarkStart w:id="102" w:name="_Toc11931"/>
      <w:r>
        <w:rPr>
          <w:rFonts w:hint="eastAsia"/>
        </w:rPr>
        <w:t>（四）统筹实施，协调推进</w:t>
      </w:r>
      <w:bookmarkEnd w:id="102"/>
    </w:p>
    <w:p>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outlineLvl w:val="9"/>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乡村</w:t>
      </w:r>
      <w:r>
        <w:rPr>
          <w:rFonts w:ascii="仿宋_GB2312" w:hAnsi="仿宋_GB2312" w:eastAsia="仿宋_GB2312" w:cs="仿宋_GB2312"/>
          <w:kern w:val="0"/>
          <w:sz w:val="24"/>
          <w:szCs w:val="24"/>
        </w:rPr>
        <w:t>e</w:t>
      </w:r>
      <w:r>
        <w:rPr>
          <w:rFonts w:hint="eastAsia" w:ascii="仿宋_GB2312" w:hAnsi="仿宋_GB2312" w:eastAsia="仿宋_GB2312" w:cs="仿宋_GB2312"/>
          <w:kern w:val="0"/>
          <w:sz w:val="24"/>
          <w:szCs w:val="24"/>
        </w:rPr>
        <w:t>镇培育与电子商务进农村综合示范工作在资金使用和项目建设上统筹考虑，一体设计，协调推进，资源共享，弥补短板，强化弱项，充分发挥财政资金的撬动作用。</w:t>
      </w:r>
    </w:p>
    <w:p>
      <w:pPr>
        <w:keepNext w:val="0"/>
        <w:keepLines w:val="0"/>
        <w:pageBreakBefore w:val="0"/>
        <w:widowControl w:val="0"/>
        <w:kinsoku/>
        <w:wordWrap/>
        <w:overflowPunct/>
        <w:topLinePunct w:val="0"/>
        <w:autoSpaceDE/>
        <w:autoSpaceDN/>
        <w:bidi w:val="0"/>
        <w:adjustRightInd/>
        <w:snapToGrid w:val="0"/>
        <w:spacing w:line="480" w:lineRule="exact"/>
        <w:ind w:firstLine="520" w:firstLineChars="200"/>
        <w:textAlignment w:val="baseline"/>
        <w:outlineLvl w:val="9"/>
        <w:rPr>
          <w:rFonts w:hint="eastAsia" w:ascii="黑体" w:hAnsi="黑体" w:eastAsia="黑体" w:cs="黑体"/>
          <w:color w:val="000000"/>
          <w:kern w:val="0"/>
          <w:sz w:val="26"/>
          <w:szCs w:val="26"/>
        </w:rPr>
      </w:pPr>
      <w:bookmarkStart w:id="103" w:name="_Toc14240"/>
      <w:r>
        <w:rPr>
          <w:rFonts w:hint="eastAsia" w:ascii="黑体" w:hAnsi="黑体" w:eastAsia="黑体" w:cs="黑体"/>
          <w:color w:val="000000"/>
          <w:kern w:val="0"/>
          <w:sz w:val="26"/>
          <w:szCs w:val="26"/>
        </w:rPr>
        <w:t>三、发展目标</w:t>
      </w:r>
      <w:bookmarkEnd w:id="103"/>
    </w:p>
    <w:p>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outlineLvl w:val="9"/>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从我市实际出发，选择本地最有基础、最具潜力、最能成长壮大的产业，做强做精</w:t>
      </w:r>
      <w:r>
        <w:rPr>
          <w:rFonts w:ascii="仿宋_GB2312" w:hAnsi="仿宋_GB2312" w:eastAsia="仿宋_GB2312" w:cs="仿宋_GB2312"/>
          <w:kern w:val="0"/>
          <w:sz w:val="24"/>
          <w:szCs w:val="24"/>
        </w:rPr>
        <w:t>1</w:t>
      </w:r>
      <w:r>
        <w:rPr>
          <w:rFonts w:hint="eastAsia" w:ascii="仿宋_GB2312" w:hAnsi="仿宋_GB2312" w:eastAsia="仿宋_GB2312" w:cs="仿宋_GB2312"/>
          <w:kern w:val="0"/>
          <w:sz w:val="24"/>
          <w:szCs w:val="24"/>
        </w:rPr>
        <w:t>个主导产业，培育形成具有核心竞争力的电商产业，引领区域经济发展。在聚力发展主导产业的基础上，推进生产生活生态“三生融合”和产业社区文化旅游“四位一体”，培育“一刻钟”便民生活圈。聚焦产业高端化发展，提升产业价值链和产品附加值，建成后“十四五”期间总产值不少于</w:t>
      </w:r>
      <w:r>
        <w:rPr>
          <w:rFonts w:ascii="仿宋_GB2312" w:hAnsi="仿宋_GB2312" w:eastAsia="仿宋_GB2312" w:cs="仿宋_GB2312"/>
          <w:kern w:val="0"/>
          <w:sz w:val="24"/>
          <w:szCs w:val="24"/>
        </w:rPr>
        <w:t>1.5</w:t>
      </w:r>
      <w:r>
        <w:rPr>
          <w:rFonts w:hint="eastAsia" w:ascii="仿宋_GB2312" w:hAnsi="仿宋_GB2312" w:eastAsia="仿宋_GB2312" w:cs="仿宋_GB2312"/>
          <w:kern w:val="0"/>
          <w:sz w:val="24"/>
          <w:szCs w:val="24"/>
        </w:rPr>
        <w:t>亿元</w:t>
      </w:r>
      <w:r>
        <w:rPr>
          <w:rFonts w:ascii="仿宋_GB2312" w:hAnsi="仿宋_GB2312" w:eastAsia="仿宋_GB2312" w:cs="仿宋_GB2312"/>
          <w:kern w:val="0"/>
          <w:sz w:val="24"/>
          <w:szCs w:val="24"/>
        </w:rPr>
        <w:t>/</w:t>
      </w:r>
      <w:r>
        <w:rPr>
          <w:rFonts w:hint="eastAsia" w:ascii="仿宋_GB2312" w:hAnsi="仿宋_GB2312" w:eastAsia="仿宋_GB2312" w:cs="仿宋_GB2312"/>
          <w:kern w:val="0"/>
          <w:sz w:val="24"/>
          <w:szCs w:val="24"/>
        </w:rPr>
        <w:t>年</w:t>
      </w:r>
      <w:r>
        <w:rPr>
          <w:rFonts w:ascii="仿宋_GB2312" w:hAnsi="仿宋_GB2312" w:eastAsia="仿宋_GB2312" w:cs="仿宋_GB2312"/>
          <w:kern w:val="0"/>
          <w:sz w:val="24"/>
          <w:szCs w:val="24"/>
        </w:rPr>
        <w:t>/</w:t>
      </w:r>
      <w:r>
        <w:rPr>
          <w:rFonts w:hint="eastAsia" w:ascii="仿宋_GB2312" w:hAnsi="仿宋_GB2312" w:eastAsia="仿宋_GB2312" w:cs="仿宋_GB2312"/>
          <w:kern w:val="0"/>
          <w:sz w:val="24"/>
          <w:szCs w:val="24"/>
        </w:rPr>
        <w:t>镇，年总产值同比增长率高于忻州市平均水平</w:t>
      </w:r>
      <w:r>
        <w:rPr>
          <w:rFonts w:ascii="仿宋_GB2312" w:hAnsi="仿宋_GB2312" w:eastAsia="仿宋_GB2312" w:cs="仿宋_GB2312"/>
          <w:kern w:val="0"/>
          <w:sz w:val="24"/>
          <w:szCs w:val="24"/>
        </w:rPr>
        <w:t>2</w:t>
      </w:r>
      <w:r>
        <w:rPr>
          <w:rFonts w:hint="eastAsia" w:ascii="仿宋_GB2312" w:hAnsi="仿宋_GB2312" w:eastAsia="仿宋_GB2312" w:cs="仿宋_GB2312"/>
          <w:kern w:val="0"/>
          <w:sz w:val="24"/>
          <w:szCs w:val="24"/>
        </w:rPr>
        <w:t>百分点。两年建设期实现新增市场主体数量不少于</w:t>
      </w:r>
      <w:r>
        <w:rPr>
          <w:rFonts w:ascii="仿宋_GB2312" w:hAnsi="仿宋_GB2312" w:eastAsia="仿宋_GB2312" w:cs="仿宋_GB2312"/>
          <w:kern w:val="0"/>
          <w:sz w:val="24"/>
          <w:szCs w:val="24"/>
        </w:rPr>
        <w:t>10</w:t>
      </w:r>
      <w:r>
        <w:rPr>
          <w:rFonts w:hint="eastAsia" w:ascii="仿宋_GB2312" w:hAnsi="仿宋_GB2312" w:eastAsia="仿宋_GB2312" w:cs="仿宋_GB2312"/>
          <w:kern w:val="0"/>
          <w:sz w:val="24"/>
          <w:szCs w:val="24"/>
        </w:rPr>
        <w:t>个</w:t>
      </w:r>
      <w:r>
        <w:rPr>
          <w:rFonts w:ascii="仿宋_GB2312" w:hAnsi="仿宋_GB2312" w:eastAsia="仿宋_GB2312" w:cs="仿宋_GB2312"/>
          <w:kern w:val="0"/>
          <w:sz w:val="24"/>
          <w:szCs w:val="24"/>
        </w:rPr>
        <w:t>/</w:t>
      </w:r>
      <w:r>
        <w:rPr>
          <w:rFonts w:hint="eastAsia" w:ascii="仿宋_GB2312" w:hAnsi="仿宋_GB2312" w:eastAsia="仿宋_GB2312" w:cs="仿宋_GB2312"/>
          <w:kern w:val="0"/>
          <w:sz w:val="24"/>
          <w:szCs w:val="24"/>
        </w:rPr>
        <w:t>年</w:t>
      </w:r>
      <w:r>
        <w:rPr>
          <w:rFonts w:ascii="仿宋_GB2312" w:hAnsi="仿宋_GB2312" w:eastAsia="仿宋_GB2312" w:cs="仿宋_GB2312"/>
          <w:kern w:val="0"/>
          <w:sz w:val="24"/>
          <w:szCs w:val="24"/>
        </w:rPr>
        <w:t>/</w:t>
      </w:r>
      <w:r>
        <w:rPr>
          <w:rFonts w:hint="eastAsia" w:ascii="仿宋_GB2312" w:hAnsi="仿宋_GB2312" w:eastAsia="仿宋_GB2312" w:cs="仿宋_GB2312"/>
          <w:kern w:val="0"/>
          <w:sz w:val="24"/>
          <w:szCs w:val="24"/>
        </w:rPr>
        <w:t>镇，其中开展电商业务市场主体不少于</w:t>
      </w:r>
      <w:r>
        <w:rPr>
          <w:rFonts w:ascii="仿宋_GB2312" w:hAnsi="仿宋_GB2312" w:eastAsia="仿宋_GB2312" w:cs="仿宋_GB2312"/>
          <w:kern w:val="0"/>
          <w:sz w:val="24"/>
          <w:szCs w:val="24"/>
        </w:rPr>
        <w:t>60%</w:t>
      </w:r>
      <w:r>
        <w:rPr>
          <w:rFonts w:hint="eastAsia" w:ascii="仿宋_GB2312" w:hAnsi="仿宋_GB2312" w:eastAsia="仿宋_GB2312" w:cs="仿宋_GB2312"/>
          <w:kern w:val="0"/>
          <w:sz w:val="24"/>
          <w:szCs w:val="24"/>
        </w:rPr>
        <w:t>。建成后“十四五”期间网络零售额不低于</w:t>
      </w:r>
      <w:r>
        <w:rPr>
          <w:rFonts w:ascii="仿宋_GB2312" w:hAnsi="仿宋_GB2312" w:eastAsia="仿宋_GB2312" w:cs="仿宋_GB2312"/>
          <w:kern w:val="0"/>
          <w:sz w:val="24"/>
          <w:szCs w:val="24"/>
        </w:rPr>
        <w:t>3000</w:t>
      </w:r>
      <w:r>
        <w:rPr>
          <w:rFonts w:hint="eastAsia" w:ascii="仿宋_GB2312" w:hAnsi="仿宋_GB2312" w:eastAsia="仿宋_GB2312" w:cs="仿宋_GB2312"/>
          <w:kern w:val="0"/>
          <w:sz w:val="24"/>
          <w:szCs w:val="24"/>
        </w:rPr>
        <w:t>万元</w:t>
      </w:r>
      <w:r>
        <w:rPr>
          <w:rFonts w:ascii="仿宋_GB2312" w:hAnsi="仿宋_GB2312" w:eastAsia="仿宋_GB2312" w:cs="仿宋_GB2312"/>
          <w:kern w:val="0"/>
          <w:sz w:val="24"/>
          <w:szCs w:val="24"/>
        </w:rPr>
        <w:t>/</w:t>
      </w:r>
      <w:r>
        <w:rPr>
          <w:rFonts w:hint="eastAsia" w:ascii="仿宋_GB2312" w:hAnsi="仿宋_GB2312" w:eastAsia="仿宋_GB2312" w:cs="仿宋_GB2312"/>
          <w:kern w:val="0"/>
          <w:sz w:val="24"/>
          <w:szCs w:val="24"/>
        </w:rPr>
        <w:t>年，同比增长率不低于</w:t>
      </w:r>
      <w:r>
        <w:rPr>
          <w:rFonts w:ascii="仿宋_GB2312" w:hAnsi="仿宋_GB2312" w:eastAsia="仿宋_GB2312" w:cs="仿宋_GB2312"/>
          <w:kern w:val="0"/>
          <w:sz w:val="24"/>
          <w:szCs w:val="24"/>
        </w:rPr>
        <w:t>10%</w:t>
      </w:r>
      <w:r>
        <w:rPr>
          <w:rFonts w:hint="eastAsia" w:ascii="仿宋_GB2312" w:hAnsi="仿宋_GB2312" w:eastAsia="仿宋_GB2312" w:cs="仿宋_GB2312"/>
          <w:kern w:val="0"/>
          <w:sz w:val="24"/>
          <w:szCs w:val="24"/>
        </w:rPr>
        <w:t>。聚焦创新创业，培育新产业、新业态、新商业模式，健全研发设计、成果孵化、金融导入、场景应用相结合的创新创业服务体系。</w:t>
      </w:r>
    </w:p>
    <w:p>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outlineLvl w:val="9"/>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力争用两年时间，市场主体高质扩容，产业发展突出鲜明、网络零售明显增长、服务功能优化完善、体制机制高效灵活，推动产业、主体、电商、金融、人才、技术、文旅、物流、创新等要素科学聚集发展，形成“产业</w:t>
      </w:r>
      <w:r>
        <w:rPr>
          <w:rFonts w:ascii="仿宋_GB2312" w:hAnsi="仿宋_GB2312" w:eastAsia="仿宋_GB2312" w:cs="仿宋_GB2312"/>
          <w:kern w:val="0"/>
          <w:sz w:val="24"/>
          <w:szCs w:val="24"/>
        </w:rPr>
        <w:t>+</w:t>
      </w:r>
      <w:r>
        <w:rPr>
          <w:rFonts w:hint="eastAsia" w:ascii="仿宋_GB2312" w:hAnsi="仿宋_GB2312" w:eastAsia="仿宋_GB2312" w:cs="仿宋_GB2312"/>
          <w:kern w:val="0"/>
          <w:sz w:val="24"/>
          <w:szCs w:val="24"/>
        </w:rPr>
        <w:t>电商</w:t>
      </w:r>
      <w:r>
        <w:rPr>
          <w:rFonts w:ascii="仿宋_GB2312" w:hAnsi="仿宋_GB2312" w:eastAsia="仿宋_GB2312" w:cs="仿宋_GB2312"/>
          <w:kern w:val="0"/>
          <w:sz w:val="24"/>
          <w:szCs w:val="24"/>
        </w:rPr>
        <w:t>+</w:t>
      </w:r>
      <w:r>
        <w:rPr>
          <w:rFonts w:hint="eastAsia" w:ascii="仿宋_GB2312" w:hAnsi="仿宋_GB2312" w:eastAsia="仿宋_GB2312" w:cs="仿宋_GB2312"/>
          <w:kern w:val="0"/>
          <w:sz w:val="24"/>
          <w:szCs w:val="24"/>
        </w:rPr>
        <w:t>配套”的可持续发展电商生态体系。</w:t>
      </w:r>
    </w:p>
    <w:p>
      <w:pPr>
        <w:keepNext w:val="0"/>
        <w:keepLines w:val="0"/>
        <w:pageBreakBefore w:val="0"/>
        <w:widowControl w:val="0"/>
        <w:kinsoku/>
        <w:wordWrap/>
        <w:overflowPunct/>
        <w:topLinePunct w:val="0"/>
        <w:autoSpaceDE/>
        <w:autoSpaceDN/>
        <w:bidi w:val="0"/>
        <w:adjustRightInd/>
        <w:snapToGrid w:val="0"/>
        <w:spacing w:line="480" w:lineRule="exact"/>
        <w:ind w:firstLine="520" w:firstLineChars="200"/>
        <w:textAlignment w:val="baseline"/>
        <w:outlineLvl w:val="9"/>
        <w:rPr>
          <w:rFonts w:hint="eastAsia" w:ascii="黑体" w:hAnsi="黑体" w:eastAsia="黑体" w:cs="黑体"/>
          <w:color w:val="000000"/>
          <w:kern w:val="0"/>
          <w:sz w:val="26"/>
          <w:szCs w:val="26"/>
        </w:rPr>
      </w:pPr>
      <w:bookmarkStart w:id="104" w:name="_Toc21350"/>
      <w:r>
        <w:rPr>
          <w:rFonts w:hint="eastAsia" w:ascii="黑体" w:hAnsi="黑体" w:eastAsia="黑体" w:cs="黑体"/>
          <w:color w:val="000000"/>
          <w:kern w:val="0"/>
          <w:sz w:val="26"/>
          <w:szCs w:val="26"/>
        </w:rPr>
        <w:t>四、具体内容</w:t>
      </w:r>
      <w:bookmarkEnd w:id="104"/>
    </w:p>
    <w:p>
      <w:pPr>
        <w:pStyle w:val="5"/>
        <w:pageBreakBefore w:val="0"/>
        <w:widowControl w:val="0"/>
        <w:kinsoku/>
        <w:wordWrap/>
        <w:overflowPunct/>
        <w:topLinePunct w:val="0"/>
        <w:autoSpaceDE/>
        <w:autoSpaceDN/>
        <w:bidi w:val="0"/>
        <w:adjustRightInd/>
        <w:snapToGrid w:val="0"/>
        <w:spacing w:line="480" w:lineRule="exact"/>
      </w:pPr>
      <w:bookmarkStart w:id="105" w:name="_Toc28551"/>
      <w:r>
        <w:rPr>
          <w:rFonts w:hint="eastAsia"/>
        </w:rPr>
        <w:t>（一）培育乡村</w:t>
      </w:r>
      <w:r>
        <w:t>e</w:t>
      </w:r>
      <w:r>
        <w:rPr>
          <w:rFonts w:hint="eastAsia"/>
        </w:rPr>
        <w:t>镇主导产业</w:t>
      </w:r>
      <w:bookmarkEnd w:id="105"/>
    </w:p>
    <w:p>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outlineLvl w:val="9"/>
        <w:rPr>
          <w:rFonts w:ascii="仿宋_GB2312" w:hAnsi="仿宋_GB2312" w:eastAsia="仿宋_GB2312" w:cs="仿宋_GB2312"/>
          <w:b/>
          <w:bCs/>
          <w:kern w:val="0"/>
          <w:sz w:val="24"/>
          <w:szCs w:val="24"/>
        </w:rPr>
      </w:pPr>
      <w:r>
        <w:rPr>
          <w:rFonts w:hint="eastAsia" w:ascii="仿宋_GB2312" w:hAnsi="仿宋_GB2312" w:eastAsia="仿宋_GB2312" w:cs="仿宋_GB2312"/>
          <w:kern w:val="0"/>
          <w:sz w:val="24"/>
          <w:szCs w:val="24"/>
        </w:rPr>
        <w:t>培育以野庄、爱木图红色旅游景区与原平酥梨为主导产业、吸引优质企业落户为基础、产业融合为动力、实现助力乡村振兴与市场主体倍增为目标的具有原平特色的乡村</w:t>
      </w:r>
      <w:r>
        <w:rPr>
          <w:rFonts w:ascii="仿宋_GB2312" w:hAnsi="仿宋_GB2312" w:eastAsia="仿宋_GB2312" w:cs="仿宋_GB2312"/>
          <w:kern w:val="0"/>
          <w:sz w:val="24"/>
          <w:szCs w:val="24"/>
        </w:rPr>
        <w:t>e</w:t>
      </w:r>
      <w:r>
        <w:rPr>
          <w:rFonts w:hint="eastAsia" w:ascii="仿宋_GB2312" w:hAnsi="仿宋_GB2312" w:eastAsia="仿宋_GB2312" w:cs="仿宋_GB2312"/>
          <w:kern w:val="0"/>
          <w:sz w:val="24"/>
          <w:szCs w:val="24"/>
        </w:rPr>
        <w:t>镇。一方面充分发掘文化旅游资源，找准方向定位，突出精品文旅项目打造，牢牢把握旅游消费升级、文旅融合发展趋势，以文促旅、以旅彰文，拓展“古镇、古村、古寺、古树、古道、古人”文化内涵，打造六古文化旅游精品线路。以春赏花、夏观叶、秋品梨推进“旅游</w:t>
      </w:r>
      <w:r>
        <w:rPr>
          <w:rFonts w:ascii="仿宋_GB2312" w:hAnsi="仿宋_GB2312" w:eastAsia="仿宋_GB2312" w:cs="仿宋_GB2312"/>
          <w:kern w:val="0"/>
          <w:sz w:val="24"/>
          <w:szCs w:val="24"/>
        </w:rPr>
        <w:t>+</w:t>
      </w:r>
      <w:r>
        <w:rPr>
          <w:rFonts w:hint="eastAsia" w:ascii="仿宋_GB2312" w:hAnsi="仿宋_GB2312" w:eastAsia="仿宋_GB2312" w:cs="仿宋_GB2312"/>
          <w:kern w:val="0"/>
          <w:sz w:val="24"/>
          <w:szCs w:val="24"/>
        </w:rPr>
        <w:t>”产业融合发展，推进旅游产业效能增强，积极延伸酥梨产业链，与“晋享原品”“原平酥梨”区域公共品牌进行捆绑，深挖梨乡产业潜力，促进三产深度融合。吸引优质企业入驻乡村</w:t>
      </w:r>
      <w:r>
        <w:rPr>
          <w:rFonts w:ascii="仿宋_GB2312" w:hAnsi="仿宋_GB2312" w:eastAsia="仿宋_GB2312" w:cs="仿宋_GB2312"/>
          <w:kern w:val="0"/>
          <w:sz w:val="24"/>
          <w:szCs w:val="24"/>
        </w:rPr>
        <w:t>e</w:t>
      </w:r>
      <w:r>
        <w:rPr>
          <w:rFonts w:hint="eastAsia" w:ascii="仿宋_GB2312" w:hAnsi="仿宋_GB2312" w:eastAsia="仿宋_GB2312" w:cs="仿宋_GB2312"/>
          <w:kern w:val="0"/>
          <w:sz w:val="24"/>
          <w:szCs w:val="24"/>
        </w:rPr>
        <w:t>镇，丰富区域产业结构，鼓励企业开拓市场新空间、创造市场新需求、资源共享、产品互补、客源互送、互相宣传，形成区域合力。另一方面立足本地优势产业和资源禀赋，加强与农产品认证体系、追溯体系、标准化和品牌化建设的统筹协调，拓宽区域内各类农村产品线上线下销售渠道，</w:t>
      </w:r>
      <w:r>
        <w:rPr>
          <w:rFonts w:hint="eastAsia" w:ascii="仿宋_GB2312" w:hAnsi="仿宋_GB2312" w:eastAsia="仿宋_GB2312" w:cs="仿宋_GB2312"/>
          <w:sz w:val="24"/>
          <w:szCs w:val="24"/>
        </w:rPr>
        <w:t>打造乡村</w:t>
      </w:r>
      <w:r>
        <w:rPr>
          <w:rFonts w:ascii="仿宋_GB2312" w:hAnsi="仿宋_GB2312" w:eastAsia="仿宋_GB2312" w:cs="仿宋_GB2312"/>
          <w:sz w:val="24"/>
          <w:szCs w:val="24"/>
        </w:rPr>
        <w:t>e</w:t>
      </w:r>
      <w:r>
        <w:rPr>
          <w:rFonts w:hint="eastAsia" w:ascii="仿宋_GB2312" w:hAnsi="仿宋_GB2312" w:eastAsia="仿宋_GB2312" w:cs="仿宋_GB2312"/>
          <w:sz w:val="24"/>
          <w:szCs w:val="24"/>
        </w:rPr>
        <w:t>镇数字化供应链管理平台，</w:t>
      </w:r>
      <w:r>
        <w:rPr>
          <w:rFonts w:hint="eastAsia" w:ascii="仿宋_GB2312" w:hAnsi="仿宋_GB2312" w:eastAsia="仿宋_GB2312" w:cs="仿宋_GB2312"/>
          <w:kern w:val="0"/>
          <w:sz w:val="24"/>
          <w:szCs w:val="24"/>
        </w:rPr>
        <w:t>对接省内外优势电商产业和市场优质资源，建立和完善不少于</w:t>
      </w:r>
      <w:r>
        <w:rPr>
          <w:rFonts w:ascii="仿宋_GB2312" w:hAnsi="仿宋_GB2312" w:eastAsia="仿宋_GB2312" w:cs="仿宋_GB2312"/>
          <w:kern w:val="0"/>
          <w:sz w:val="24"/>
          <w:szCs w:val="24"/>
        </w:rPr>
        <w:t>1</w:t>
      </w:r>
      <w:r>
        <w:rPr>
          <w:rFonts w:hint="eastAsia" w:ascii="仿宋_GB2312" w:hAnsi="仿宋_GB2312" w:eastAsia="仿宋_GB2312" w:cs="仿宋_GB2312"/>
          <w:kern w:val="0"/>
          <w:sz w:val="24"/>
          <w:szCs w:val="24"/>
        </w:rPr>
        <w:t>个乡村</w:t>
      </w:r>
      <w:r>
        <w:rPr>
          <w:rFonts w:ascii="仿宋_GB2312" w:hAnsi="仿宋_GB2312" w:eastAsia="仿宋_GB2312" w:cs="仿宋_GB2312"/>
          <w:kern w:val="0"/>
          <w:sz w:val="24"/>
          <w:szCs w:val="24"/>
        </w:rPr>
        <w:t>e</w:t>
      </w:r>
      <w:r>
        <w:rPr>
          <w:rFonts w:hint="eastAsia" w:ascii="仿宋_GB2312" w:hAnsi="仿宋_GB2312" w:eastAsia="仿宋_GB2312" w:cs="仿宋_GB2312"/>
          <w:kern w:val="0"/>
          <w:sz w:val="24"/>
          <w:szCs w:val="24"/>
        </w:rPr>
        <w:t>镇电商产业链供应链，提升特色优势产品质量，增强市场竞争力，扩大市场占有率。</w:t>
      </w:r>
    </w:p>
    <w:p>
      <w:pPr>
        <w:pStyle w:val="5"/>
        <w:pageBreakBefore w:val="0"/>
        <w:widowControl w:val="0"/>
        <w:kinsoku/>
        <w:wordWrap/>
        <w:overflowPunct/>
        <w:topLinePunct w:val="0"/>
        <w:autoSpaceDE/>
        <w:autoSpaceDN/>
        <w:bidi w:val="0"/>
        <w:adjustRightInd/>
        <w:snapToGrid w:val="0"/>
        <w:spacing w:line="480" w:lineRule="exact"/>
      </w:pPr>
      <w:bookmarkStart w:id="106" w:name="_Toc20728"/>
      <w:r>
        <w:rPr>
          <w:rFonts w:hint="eastAsia"/>
        </w:rPr>
        <w:t>（二）培育引进电子商务市场主体</w:t>
      </w:r>
      <w:bookmarkEnd w:id="106"/>
    </w:p>
    <w:p>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outlineLvl w:val="9"/>
        <w:rPr>
          <w:rFonts w:ascii="仿宋_GB2312" w:hAnsi="仿宋_GB2312" w:eastAsia="仿宋_GB2312" w:cs="仿宋_GB2312"/>
          <w:b/>
          <w:bCs/>
          <w:kern w:val="0"/>
          <w:sz w:val="24"/>
          <w:szCs w:val="24"/>
        </w:rPr>
      </w:pPr>
      <w:r>
        <w:rPr>
          <w:rFonts w:hint="eastAsia" w:ascii="仿宋_GB2312" w:hAnsi="仿宋_GB2312" w:eastAsia="仿宋_GB2312" w:cs="仿宋_GB2312"/>
          <w:kern w:val="0"/>
          <w:sz w:val="24"/>
          <w:szCs w:val="24"/>
        </w:rPr>
        <w:t>积极培育引进市场主体，发挥比较优势，拓展业态多元化发展，增强特色产业的区域竞争力。通过精准提供政策扶持，对注册和引进到乡村</w:t>
      </w:r>
      <w:r>
        <w:rPr>
          <w:rFonts w:ascii="仿宋_GB2312" w:hAnsi="仿宋_GB2312" w:eastAsia="仿宋_GB2312" w:cs="仿宋_GB2312"/>
          <w:kern w:val="0"/>
          <w:sz w:val="24"/>
          <w:szCs w:val="24"/>
        </w:rPr>
        <w:t>e</w:t>
      </w:r>
      <w:r>
        <w:rPr>
          <w:rFonts w:hint="eastAsia" w:ascii="仿宋_GB2312" w:hAnsi="仿宋_GB2312" w:eastAsia="仿宋_GB2312" w:cs="仿宋_GB2312"/>
          <w:kern w:val="0"/>
          <w:sz w:val="24"/>
          <w:szCs w:val="24"/>
        </w:rPr>
        <w:t>镇的电子商务企业以及乡村</w:t>
      </w:r>
      <w:r>
        <w:rPr>
          <w:rFonts w:ascii="仿宋_GB2312" w:hAnsi="仿宋_GB2312" w:eastAsia="仿宋_GB2312" w:cs="仿宋_GB2312"/>
          <w:kern w:val="0"/>
          <w:sz w:val="24"/>
          <w:szCs w:val="24"/>
        </w:rPr>
        <w:t>e</w:t>
      </w:r>
      <w:r>
        <w:rPr>
          <w:rFonts w:hint="eastAsia" w:ascii="仿宋_GB2312" w:hAnsi="仿宋_GB2312" w:eastAsia="仿宋_GB2312" w:cs="仿宋_GB2312"/>
          <w:kern w:val="0"/>
          <w:sz w:val="24"/>
          <w:szCs w:val="24"/>
        </w:rPr>
        <w:t>镇内电商业绩突出的市场主体给予适当财政资金奖补，包括奖励、减免房租等，减轻入驻企业负担，提高入驻企业创业创新积极性，培育不少于</w:t>
      </w:r>
      <w:r>
        <w:rPr>
          <w:rFonts w:ascii="仿宋_GB2312" w:hAnsi="仿宋_GB2312" w:eastAsia="仿宋_GB2312" w:cs="仿宋_GB2312"/>
          <w:kern w:val="0"/>
          <w:sz w:val="24"/>
          <w:szCs w:val="24"/>
        </w:rPr>
        <w:t>5</w:t>
      </w:r>
      <w:r>
        <w:rPr>
          <w:rFonts w:hint="eastAsia" w:ascii="仿宋_GB2312" w:hAnsi="仿宋_GB2312" w:eastAsia="仿宋_GB2312" w:cs="仿宋_GB2312"/>
          <w:kern w:val="0"/>
          <w:sz w:val="24"/>
          <w:szCs w:val="24"/>
        </w:rPr>
        <w:t>家电商企业。通过完善企业服务体系，建立长效稳定的电商产品供应销售渠道，优化产业链供应链，加强产销对接，在电商平台和省外建设原平市旅游</w:t>
      </w:r>
      <w:r>
        <w:rPr>
          <w:rFonts w:ascii="仿宋_GB2312" w:hAnsi="仿宋_GB2312" w:eastAsia="仿宋_GB2312" w:cs="仿宋_GB2312"/>
          <w:kern w:val="0"/>
          <w:sz w:val="24"/>
          <w:szCs w:val="24"/>
        </w:rPr>
        <w:t>+</w:t>
      </w:r>
      <w:r>
        <w:rPr>
          <w:rFonts w:hint="eastAsia" w:ascii="仿宋_GB2312" w:hAnsi="仿宋_GB2312" w:eastAsia="仿宋_GB2312" w:cs="仿宋_GB2312"/>
          <w:kern w:val="0"/>
          <w:sz w:val="24"/>
          <w:szCs w:val="24"/>
        </w:rPr>
        <w:t>产品特色馆，拓宽销售渠道，扩大网络销售。通过开展金融扶持，对接金融机构，创新金融产品，为企业提供优惠金融服务。</w:t>
      </w:r>
    </w:p>
    <w:p>
      <w:pPr>
        <w:pStyle w:val="5"/>
        <w:pageBreakBefore w:val="0"/>
        <w:widowControl w:val="0"/>
        <w:kinsoku/>
        <w:wordWrap/>
        <w:overflowPunct/>
        <w:topLinePunct w:val="0"/>
        <w:autoSpaceDE/>
        <w:autoSpaceDN/>
        <w:bidi w:val="0"/>
        <w:adjustRightInd/>
        <w:snapToGrid w:val="0"/>
        <w:spacing w:line="480" w:lineRule="exact"/>
      </w:pPr>
      <w:bookmarkStart w:id="107" w:name="_Toc16020"/>
      <w:r>
        <w:rPr>
          <w:rFonts w:hint="eastAsia"/>
        </w:rPr>
        <w:t>（三）鼓励发展跨境电商</w:t>
      </w:r>
      <w:bookmarkEnd w:id="107"/>
    </w:p>
    <w:p>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outlineLvl w:val="9"/>
        <w:rPr>
          <w:rFonts w:ascii="仿宋_GB2312" w:hAnsi="仿宋_GB2312" w:eastAsia="仿宋_GB2312" w:cs="仿宋_GB2312"/>
          <w:b/>
          <w:bCs/>
          <w:kern w:val="0"/>
          <w:sz w:val="24"/>
          <w:szCs w:val="24"/>
        </w:rPr>
      </w:pPr>
      <w:r>
        <w:rPr>
          <w:rFonts w:hint="eastAsia" w:ascii="仿宋_GB2312" w:hAnsi="仿宋_GB2312" w:eastAsia="仿宋_GB2312" w:cs="仿宋_GB2312"/>
          <w:kern w:val="0"/>
          <w:sz w:val="24"/>
          <w:szCs w:val="24"/>
        </w:rPr>
        <w:t>根据市域实际需要，发展跨境电商。运用电子商务改造传统营销渠道，利用第三方平台开展对外贸易。鼓励对接阿里巴巴国际站、亚马逊、速卖通等第三方平台资源，建设跨境电子商务创业培训（孵化）基地和服务中心，培训人数不少于</w:t>
      </w:r>
      <w:r>
        <w:rPr>
          <w:rFonts w:ascii="仿宋_GB2312" w:hAnsi="仿宋_GB2312" w:eastAsia="仿宋_GB2312" w:cs="仿宋_GB2312"/>
          <w:kern w:val="0"/>
          <w:sz w:val="24"/>
          <w:szCs w:val="24"/>
        </w:rPr>
        <w:t>200</w:t>
      </w:r>
      <w:r>
        <w:rPr>
          <w:rFonts w:hint="eastAsia" w:ascii="仿宋_GB2312" w:hAnsi="仿宋_GB2312" w:eastAsia="仿宋_GB2312" w:cs="仿宋_GB2312"/>
          <w:kern w:val="0"/>
          <w:sz w:val="24"/>
          <w:szCs w:val="24"/>
        </w:rPr>
        <w:t>人次。</w:t>
      </w:r>
    </w:p>
    <w:p>
      <w:pPr>
        <w:pStyle w:val="5"/>
        <w:pageBreakBefore w:val="0"/>
        <w:widowControl w:val="0"/>
        <w:kinsoku/>
        <w:wordWrap/>
        <w:overflowPunct/>
        <w:topLinePunct w:val="0"/>
        <w:autoSpaceDE/>
        <w:autoSpaceDN/>
        <w:bidi w:val="0"/>
        <w:adjustRightInd/>
        <w:snapToGrid w:val="0"/>
        <w:spacing w:line="480" w:lineRule="exact"/>
      </w:pPr>
      <w:bookmarkStart w:id="108" w:name="_Toc26022"/>
      <w:r>
        <w:rPr>
          <w:rFonts w:hint="eastAsia"/>
        </w:rPr>
        <w:t>（四）打造区域公用品牌</w:t>
      </w:r>
      <w:bookmarkEnd w:id="108"/>
    </w:p>
    <w:p>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outlineLvl w:val="9"/>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优化区域公用品牌结构，以原平市特色酥梨产业和爱木图旅游产业为发展基础，明确原平市区域公用品牌着力的载体和方向，打造做强</w:t>
      </w:r>
      <w:r>
        <w:rPr>
          <w:rFonts w:ascii="仿宋_GB2312" w:hAnsi="仿宋_GB2312" w:eastAsia="仿宋_GB2312" w:cs="仿宋_GB2312"/>
          <w:kern w:val="0"/>
          <w:sz w:val="24"/>
          <w:szCs w:val="24"/>
        </w:rPr>
        <w:t>2</w:t>
      </w:r>
      <w:r>
        <w:rPr>
          <w:rFonts w:hint="eastAsia" w:ascii="仿宋_GB2312" w:hAnsi="仿宋_GB2312" w:eastAsia="仿宋_GB2312" w:cs="仿宋_GB2312"/>
          <w:kern w:val="0"/>
          <w:sz w:val="24"/>
          <w:szCs w:val="24"/>
        </w:rPr>
        <w:t>个区域公用品牌。依托爱木图景区旅游资源优势结合原平市酥梨产业发展现状，对资源进行梳理，对职责进行分工，开发一批适销对路的原平特色网货产品（旅游、酥梨及酥梨深加工产品等），将区域公用品牌做大做强。区域公用品牌、景区品牌和企业品牌协同发展，采取“公用品牌”</w:t>
      </w:r>
      <w:r>
        <w:rPr>
          <w:rFonts w:ascii="仿宋_GB2312" w:hAnsi="仿宋_GB2312" w:eastAsia="仿宋_GB2312" w:cs="仿宋_GB2312"/>
          <w:kern w:val="0"/>
          <w:sz w:val="24"/>
          <w:szCs w:val="24"/>
        </w:rPr>
        <w:t>+</w:t>
      </w:r>
      <w:r>
        <w:rPr>
          <w:rFonts w:hint="eastAsia" w:ascii="仿宋_GB2312" w:hAnsi="仿宋_GB2312" w:eastAsia="仿宋_GB2312" w:cs="仿宋_GB2312"/>
          <w:kern w:val="0"/>
          <w:sz w:val="24"/>
          <w:szCs w:val="24"/>
        </w:rPr>
        <w:t>“景区品牌”</w:t>
      </w:r>
      <w:r>
        <w:rPr>
          <w:rFonts w:ascii="仿宋_GB2312" w:hAnsi="仿宋_GB2312" w:eastAsia="仿宋_GB2312" w:cs="仿宋_GB2312"/>
          <w:kern w:val="0"/>
          <w:sz w:val="24"/>
          <w:szCs w:val="24"/>
        </w:rPr>
        <w:t>+</w:t>
      </w:r>
      <w:r>
        <w:rPr>
          <w:rFonts w:hint="eastAsia" w:ascii="仿宋_GB2312" w:hAnsi="仿宋_GB2312" w:eastAsia="仿宋_GB2312" w:cs="仿宋_GB2312"/>
          <w:kern w:val="0"/>
          <w:sz w:val="24"/>
          <w:szCs w:val="24"/>
        </w:rPr>
        <w:t>“企业品牌”捆绑使用的办法，支持乡村</w:t>
      </w:r>
      <w:r>
        <w:rPr>
          <w:rFonts w:ascii="仿宋_GB2312" w:hAnsi="仿宋_GB2312" w:eastAsia="仿宋_GB2312" w:cs="仿宋_GB2312"/>
          <w:kern w:val="0"/>
          <w:sz w:val="24"/>
          <w:szCs w:val="24"/>
        </w:rPr>
        <w:t>e</w:t>
      </w:r>
      <w:r>
        <w:rPr>
          <w:rFonts w:hint="eastAsia" w:ascii="仿宋_GB2312" w:hAnsi="仿宋_GB2312" w:eastAsia="仿宋_GB2312" w:cs="仿宋_GB2312"/>
          <w:kern w:val="0"/>
          <w:sz w:val="24"/>
          <w:szCs w:val="24"/>
        </w:rPr>
        <w:t>镇入驻企业提升或创建一批“小而美”的自主品牌。建立区域公用品牌运行和管理制度，把控区域公用品牌的授权和使用，对使用区域公用品牌的产品进行严格筛选，在品牌建设前期就打造出品牌的好口碑，保证品牌优势发育，促进区域公用品牌良好发展。挖掘品牌内涵，讲好品牌故事，创新品牌营销，组织开展区域公用品牌线上线下营销推广活动，畅通线上线下销售渠道，提高品牌竞争力和知名度。通过品牌价值的增值和溢价带动乡村</w:t>
      </w:r>
      <w:r>
        <w:rPr>
          <w:rFonts w:ascii="仿宋_GB2312" w:hAnsi="仿宋_GB2312" w:eastAsia="仿宋_GB2312" w:cs="仿宋_GB2312"/>
          <w:kern w:val="0"/>
          <w:sz w:val="24"/>
          <w:szCs w:val="24"/>
        </w:rPr>
        <w:t>e</w:t>
      </w:r>
      <w:r>
        <w:rPr>
          <w:rFonts w:hint="eastAsia" w:ascii="仿宋_GB2312" w:hAnsi="仿宋_GB2312" w:eastAsia="仿宋_GB2312" w:cs="仿宋_GB2312"/>
          <w:kern w:val="0"/>
          <w:sz w:val="24"/>
          <w:szCs w:val="24"/>
        </w:rPr>
        <w:t>镇区域农业发展，为农民增收致富和乡村振兴贡献力量。</w:t>
      </w:r>
    </w:p>
    <w:p>
      <w:pPr>
        <w:pStyle w:val="5"/>
        <w:pageBreakBefore w:val="0"/>
        <w:widowControl w:val="0"/>
        <w:kinsoku/>
        <w:wordWrap/>
        <w:overflowPunct/>
        <w:topLinePunct w:val="0"/>
        <w:autoSpaceDE/>
        <w:autoSpaceDN/>
        <w:bidi w:val="0"/>
        <w:adjustRightInd/>
        <w:snapToGrid w:val="0"/>
        <w:spacing w:line="480" w:lineRule="exact"/>
      </w:pPr>
      <w:bookmarkStart w:id="109" w:name="_Toc28588"/>
      <w:r>
        <w:rPr>
          <w:rFonts w:hint="eastAsia"/>
        </w:rPr>
        <w:t>（五）培育乡村</w:t>
      </w:r>
      <w:r>
        <w:t>e</w:t>
      </w:r>
      <w:r>
        <w:rPr>
          <w:rFonts w:hint="eastAsia"/>
        </w:rPr>
        <w:t>镇商业带头人</w:t>
      </w:r>
      <w:bookmarkEnd w:id="109"/>
    </w:p>
    <w:p>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outlineLvl w:val="9"/>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依托市电商公共服务中心，建设电商产业培训孵化中心，建立覆盖对象广泛、培训形式多样、管理运作规范、保障措施健全的新型商业带头人培育体系。采取“请进来、走出去”的方式，依托各种培训平台、电商培训机构，对接大专院校，组建层次化电子商务培训团队，聘用专家不少于</w:t>
      </w:r>
      <w:r>
        <w:rPr>
          <w:rFonts w:ascii="仿宋_GB2312" w:hAnsi="仿宋_GB2312" w:eastAsia="仿宋_GB2312" w:cs="仿宋_GB2312"/>
          <w:kern w:val="0"/>
          <w:sz w:val="24"/>
          <w:szCs w:val="24"/>
        </w:rPr>
        <w:t>5</w:t>
      </w:r>
      <w:r>
        <w:rPr>
          <w:rFonts w:hint="eastAsia" w:ascii="仿宋_GB2312" w:hAnsi="仿宋_GB2312" w:eastAsia="仿宋_GB2312" w:cs="仿宋_GB2312"/>
          <w:kern w:val="0"/>
          <w:sz w:val="24"/>
          <w:szCs w:val="24"/>
        </w:rPr>
        <w:t>人，开展市场营销、摄影美工、直播带货、网店运营及电商人才定制培训等多样化的电子商务培训，培育具有示范带动效应的商业带头人不少于</w:t>
      </w:r>
      <w:r>
        <w:rPr>
          <w:rFonts w:ascii="仿宋_GB2312" w:hAnsi="仿宋_GB2312" w:eastAsia="仿宋_GB2312" w:cs="仿宋_GB2312"/>
          <w:kern w:val="0"/>
          <w:sz w:val="24"/>
          <w:szCs w:val="24"/>
        </w:rPr>
        <w:t>5</w:t>
      </w:r>
      <w:r>
        <w:rPr>
          <w:rFonts w:hint="eastAsia" w:ascii="仿宋_GB2312" w:hAnsi="仿宋_GB2312" w:eastAsia="仿宋_GB2312" w:cs="仿宋_GB2312"/>
          <w:kern w:val="0"/>
          <w:sz w:val="24"/>
          <w:szCs w:val="24"/>
        </w:rPr>
        <w:t>人，培育本地网红不少于</w:t>
      </w:r>
      <w:r>
        <w:rPr>
          <w:rFonts w:ascii="仿宋_GB2312" w:hAnsi="仿宋_GB2312" w:eastAsia="仿宋_GB2312" w:cs="仿宋_GB2312"/>
          <w:kern w:val="0"/>
          <w:sz w:val="24"/>
          <w:szCs w:val="24"/>
        </w:rPr>
        <w:t>5</w:t>
      </w:r>
      <w:r>
        <w:rPr>
          <w:rFonts w:hint="eastAsia" w:ascii="仿宋_GB2312" w:hAnsi="仿宋_GB2312" w:eastAsia="仿宋_GB2312" w:cs="仿宋_GB2312"/>
          <w:kern w:val="0"/>
          <w:sz w:val="24"/>
          <w:szCs w:val="24"/>
        </w:rPr>
        <w:t>人，培训人次不少于</w:t>
      </w:r>
      <w:r>
        <w:rPr>
          <w:rFonts w:ascii="仿宋_GB2312" w:hAnsi="仿宋_GB2312" w:eastAsia="仿宋_GB2312" w:cs="仿宋_GB2312"/>
          <w:kern w:val="0"/>
          <w:sz w:val="24"/>
          <w:szCs w:val="24"/>
        </w:rPr>
        <w:t>500</w:t>
      </w:r>
      <w:r>
        <w:rPr>
          <w:rFonts w:hint="eastAsia" w:ascii="仿宋_GB2312" w:hAnsi="仿宋_GB2312" w:eastAsia="仿宋_GB2312" w:cs="仿宋_GB2312"/>
          <w:kern w:val="0"/>
          <w:sz w:val="24"/>
          <w:szCs w:val="24"/>
        </w:rPr>
        <w:t>人次。通过电商培训培养一支懂电商业务、会经营网店、能带头致富的电商人才队伍。每年至少举办一次创业创新和技能大赛，挖掘电商专业人才，为乡村振兴建设提供人才储备。</w:t>
      </w:r>
    </w:p>
    <w:p>
      <w:pPr>
        <w:pStyle w:val="5"/>
        <w:pageBreakBefore w:val="0"/>
        <w:widowControl w:val="0"/>
        <w:kinsoku/>
        <w:wordWrap/>
        <w:overflowPunct/>
        <w:topLinePunct w:val="0"/>
        <w:autoSpaceDE/>
        <w:autoSpaceDN/>
        <w:bidi w:val="0"/>
        <w:adjustRightInd/>
        <w:snapToGrid w:val="0"/>
        <w:spacing w:line="480" w:lineRule="exact"/>
      </w:pPr>
      <w:bookmarkStart w:id="110" w:name="_Toc10008"/>
      <w:r>
        <w:rPr>
          <w:rFonts w:hint="eastAsia"/>
        </w:rPr>
        <w:t>（六）健全电商公共服务体系</w:t>
      </w:r>
      <w:bookmarkEnd w:id="110"/>
    </w:p>
    <w:p>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outlineLvl w:val="9"/>
        <w:rPr>
          <w:rFonts w:ascii="仿宋_GB2312" w:hAnsi="仿宋_GB2312" w:eastAsia="仿宋_GB2312" w:cs="仿宋_GB2312"/>
          <w:kern w:val="0"/>
          <w:sz w:val="24"/>
          <w:szCs w:val="24"/>
          <w:highlight w:val="yellow"/>
        </w:rPr>
      </w:pPr>
      <w:r>
        <w:rPr>
          <w:rFonts w:hint="eastAsia" w:ascii="仿宋_GB2312" w:hAnsi="仿宋_GB2312" w:eastAsia="仿宋_GB2312" w:cs="仿宋_GB2312"/>
          <w:kern w:val="0"/>
          <w:sz w:val="24"/>
          <w:szCs w:val="24"/>
        </w:rPr>
        <w:t>立足原平市特色产业和资源禀赋，建设</w:t>
      </w:r>
      <w:r>
        <w:rPr>
          <w:rFonts w:ascii="仿宋_GB2312" w:hAnsi="仿宋_GB2312" w:eastAsia="仿宋_GB2312" w:cs="仿宋_GB2312"/>
          <w:kern w:val="0"/>
          <w:sz w:val="24"/>
          <w:szCs w:val="24"/>
        </w:rPr>
        <w:t>1</w:t>
      </w:r>
      <w:r>
        <w:rPr>
          <w:rFonts w:hint="eastAsia" w:ascii="仿宋_GB2312" w:hAnsi="仿宋_GB2312" w:eastAsia="仿宋_GB2312" w:cs="仿宋_GB2312"/>
          <w:kern w:val="0"/>
          <w:sz w:val="24"/>
          <w:szCs w:val="24"/>
        </w:rPr>
        <w:t>个乡村</w:t>
      </w:r>
      <w:r>
        <w:rPr>
          <w:rFonts w:ascii="仿宋_GB2312" w:hAnsi="仿宋_GB2312" w:eastAsia="仿宋_GB2312" w:cs="仿宋_GB2312"/>
          <w:kern w:val="0"/>
          <w:sz w:val="24"/>
          <w:szCs w:val="24"/>
        </w:rPr>
        <w:t>e</w:t>
      </w:r>
      <w:r>
        <w:rPr>
          <w:rFonts w:hint="eastAsia" w:ascii="仿宋_GB2312" w:hAnsi="仿宋_GB2312" w:eastAsia="仿宋_GB2312" w:cs="仿宋_GB2312"/>
          <w:kern w:val="0"/>
          <w:sz w:val="24"/>
          <w:szCs w:val="24"/>
        </w:rPr>
        <w:t>镇电商公共服务中心。建立电商产品展示体验中心，具有产品线下陈列展示、体验品鉴、销售对接等功能，充分宣传展示推介原平市优特产品和优势资源。建设一个大数据中心，设立至少一个主直播间。通过专业运营团队，切实发挥乡村</w:t>
      </w:r>
      <w:r>
        <w:rPr>
          <w:rFonts w:ascii="仿宋_GB2312" w:hAnsi="仿宋_GB2312" w:eastAsia="仿宋_GB2312" w:cs="仿宋_GB2312"/>
          <w:kern w:val="0"/>
          <w:sz w:val="24"/>
          <w:szCs w:val="24"/>
        </w:rPr>
        <w:t>e</w:t>
      </w:r>
      <w:r>
        <w:rPr>
          <w:rFonts w:hint="eastAsia" w:ascii="仿宋_GB2312" w:hAnsi="仿宋_GB2312" w:eastAsia="仿宋_GB2312" w:cs="仿宋_GB2312"/>
          <w:kern w:val="0"/>
          <w:sz w:val="24"/>
          <w:szCs w:val="24"/>
        </w:rPr>
        <w:t>镇电商公共服务中心“指挥中枢”职能优势，统筹生产、加工、包装、设计、营销、策划、培训、展示、体验、会展和直播等功能，为入驻企业提供营销推广、研发设计、技术指导、仓储物流、信息咨询、交易追溯、资源对接、人员培训等服务，探索“电商</w:t>
      </w:r>
      <w:r>
        <w:rPr>
          <w:rFonts w:ascii="仿宋_GB2312" w:hAnsi="仿宋_GB2312" w:eastAsia="仿宋_GB2312" w:cs="仿宋_GB2312"/>
          <w:kern w:val="0"/>
          <w:sz w:val="24"/>
          <w:szCs w:val="24"/>
        </w:rPr>
        <w:t>+</w:t>
      </w:r>
      <w:r>
        <w:rPr>
          <w:rFonts w:hint="eastAsia" w:ascii="仿宋_GB2312" w:hAnsi="仿宋_GB2312" w:eastAsia="仿宋_GB2312" w:cs="仿宋_GB2312"/>
          <w:kern w:val="0"/>
          <w:sz w:val="24"/>
          <w:szCs w:val="24"/>
        </w:rPr>
        <w:t>合作社、企业</w:t>
      </w:r>
      <w:r>
        <w:rPr>
          <w:rFonts w:ascii="仿宋_GB2312" w:hAnsi="仿宋_GB2312" w:eastAsia="仿宋_GB2312" w:cs="仿宋_GB2312"/>
          <w:kern w:val="0"/>
          <w:sz w:val="24"/>
          <w:szCs w:val="24"/>
        </w:rPr>
        <w:t>+</w:t>
      </w:r>
      <w:r>
        <w:rPr>
          <w:rFonts w:hint="eastAsia" w:ascii="仿宋_GB2312" w:hAnsi="仿宋_GB2312" w:eastAsia="仿宋_GB2312" w:cs="仿宋_GB2312"/>
          <w:kern w:val="0"/>
          <w:sz w:val="24"/>
          <w:szCs w:val="24"/>
        </w:rPr>
        <w:t>农户、农旅</w:t>
      </w:r>
      <w:r>
        <w:rPr>
          <w:rFonts w:ascii="仿宋_GB2312" w:hAnsi="仿宋_GB2312" w:eastAsia="仿宋_GB2312" w:cs="仿宋_GB2312"/>
          <w:kern w:val="0"/>
          <w:sz w:val="24"/>
          <w:szCs w:val="24"/>
        </w:rPr>
        <w:t>+</w:t>
      </w:r>
      <w:r>
        <w:rPr>
          <w:rFonts w:hint="eastAsia" w:ascii="仿宋_GB2312" w:hAnsi="仿宋_GB2312" w:eastAsia="仿宋_GB2312" w:cs="仿宋_GB2312"/>
          <w:kern w:val="0"/>
          <w:sz w:val="24"/>
          <w:szCs w:val="24"/>
        </w:rPr>
        <w:t>商旅</w:t>
      </w:r>
      <w:r>
        <w:rPr>
          <w:rFonts w:ascii="仿宋_GB2312" w:hAnsi="仿宋_GB2312" w:eastAsia="仿宋_GB2312" w:cs="仿宋_GB2312"/>
          <w:kern w:val="0"/>
          <w:sz w:val="24"/>
          <w:szCs w:val="24"/>
        </w:rPr>
        <w:t>+</w:t>
      </w:r>
      <w:r>
        <w:rPr>
          <w:rFonts w:hint="eastAsia" w:ascii="仿宋_GB2312" w:hAnsi="仿宋_GB2312" w:eastAsia="仿宋_GB2312" w:cs="仿宋_GB2312"/>
          <w:kern w:val="0"/>
          <w:sz w:val="24"/>
          <w:szCs w:val="24"/>
        </w:rPr>
        <w:t>文旅”等模式，增强我市产业影响力，带动农户增收，提升可持续发展能力。引导一批技术领先、资源整合能力强的企业，深化产学研联合创新，加快数字化转型升级，推动公共设施和建筑等物联网应用，提高公共服务设施智能化水平。</w:t>
      </w:r>
    </w:p>
    <w:p>
      <w:pPr>
        <w:pStyle w:val="5"/>
        <w:pageBreakBefore w:val="0"/>
        <w:widowControl w:val="0"/>
        <w:kinsoku/>
        <w:wordWrap/>
        <w:overflowPunct/>
        <w:topLinePunct w:val="0"/>
        <w:autoSpaceDE/>
        <w:autoSpaceDN/>
        <w:bidi w:val="0"/>
        <w:adjustRightInd/>
        <w:snapToGrid w:val="0"/>
        <w:spacing w:line="480" w:lineRule="exact"/>
      </w:pPr>
      <w:bookmarkStart w:id="111" w:name="_Toc18119"/>
      <w:r>
        <w:rPr>
          <w:rFonts w:hint="eastAsia"/>
        </w:rPr>
        <w:t>（七）加强基础配套设施建设</w:t>
      </w:r>
      <w:bookmarkEnd w:id="111"/>
    </w:p>
    <w:p>
      <w:pPr>
        <w:pStyle w:val="41"/>
        <w:keepNext w:val="0"/>
        <w:keepLines w:val="0"/>
        <w:pageBreakBefore w:val="0"/>
        <w:widowControl w:val="0"/>
        <w:kinsoku/>
        <w:wordWrap/>
        <w:overflowPunct/>
        <w:topLinePunct w:val="0"/>
        <w:autoSpaceDE/>
        <w:autoSpaceDN/>
        <w:bidi w:val="0"/>
        <w:adjustRightInd/>
        <w:snapToGrid w:val="0"/>
        <w:spacing w:line="480" w:lineRule="exact"/>
        <w:ind w:firstLine="480" w:firstLineChars="200"/>
        <w:outlineLvl w:val="9"/>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围绕乡村</w:t>
      </w:r>
      <w:r>
        <w:rPr>
          <w:rFonts w:ascii="仿宋_GB2312" w:hAnsi="仿宋_GB2312" w:eastAsia="仿宋_GB2312" w:cs="仿宋_GB2312"/>
          <w:kern w:val="0"/>
          <w:sz w:val="24"/>
          <w:szCs w:val="24"/>
        </w:rPr>
        <w:t>e</w:t>
      </w:r>
      <w:r>
        <w:rPr>
          <w:rFonts w:hint="eastAsia" w:ascii="仿宋_GB2312" w:hAnsi="仿宋_GB2312" w:eastAsia="仿宋_GB2312" w:cs="仿宋_GB2312"/>
          <w:kern w:val="0"/>
          <w:sz w:val="24"/>
          <w:szCs w:val="24"/>
        </w:rPr>
        <w:t>镇的主体功能区建设和产业定位，推进乡村</w:t>
      </w:r>
      <w:r>
        <w:rPr>
          <w:rFonts w:ascii="仿宋_GB2312" w:hAnsi="仿宋_GB2312" w:eastAsia="仿宋_GB2312" w:cs="仿宋_GB2312"/>
          <w:kern w:val="0"/>
          <w:sz w:val="24"/>
          <w:szCs w:val="24"/>
        </w:rPr>
        <w:t>e</w:t>
      </w:r>
      <w:r>
        <w:rPr>
          <w:rFonts w:hint="eastAsia" w:ascii="仿宋_GB2312" w:hAnsi="仿宋_GB2312" w:eastAsia="仿宋_GB2312" w:cs="仿宋_GB2312"/>
          <w:kern w:val="0"/>
          <w:sz w:val="24"/>
          <w:szCs w:val="24"/>
        </w:rPr>
        <w:t>镇与电子商务进农村综合示范协同发展。整合电子商务进农村综合示范资源，统筹建立和使用电商公共服务中心、物流中心和培训中心等。逐步完善电子商务公共服务体系和物流配送体系，促进商贸流通企业转型升级。补短板、强弱项，进一步提升电商公共服务中心和物流配送中心服务水平。</w:t>
      </w:r>
    </w:p>
    <w:p>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outlineLvl w:val="9"/>
        <w:rPr>
          <w:rFonts w:ascii="仿宋_GB2312" w:hAnsi="仿宋_GB2312" w:eastAsia="仿宋_GB2312" w:cs="仿宋_GB2312"/>
          <w:b/>
          <w:bCs/>
          <w:kern w:val="0"/>
          <w:sz w:val="24"/>
          <w:szCs w:val="24"/>
        </w:rPr>
      </w:pPr>
      <w:r>
        <w:rPr>
          <w:rFonts w:hint="eastAsia" w:ascii="仿宋_GB2312" w:hAnsi="仿宋_GB2312" w:eastAsia="仿宋_GB2312" w:cs="仿宋_GB2312"/>
          <w:kern w:val="0"/>
          <w:sz w:val="24"/>
          <w:szCs w:val="24"/>
        </w:rPr>
        <w:t>按照“资源整合、体系健全、功能完善、服务规范”原则，加强基础配套设施建设，优化空间布局，健全配套服务功能。充分利用游客中心和乡村</w:t>
      </w:r>
      <w:r>
        <w:rPr>
          <w:rFonts w:ascii="仿宋_GB2312" w:hAnsi="仿宋_GB2312" w:eastAsia="仿宋_GB2312" w:cs="仿宋_GB2312"/>
          <w:kern w:val="0"/>
          <w:sz w:val="24"/>
          <w:szCs w:val="24"/>
        </w:rPr>
        <w:t>e</w:t>
      </w:r>
      <w:r>
        <w:rPr>
          <w:rFonts w:hint="eastAsia" w:ascii="仿宋_GB2312" w:hAnsi="仿宋_GB2312" w:eastAsia="仿宋_GB2312" w:cs="仿宋_GB2312"/>
          <w:kern w:val="0"/>
          <w:sz w:val="24"/>
          <w:szCs w:val="24"/>
        </w:rPr>
        <w:t>镇公共服务中心，着力打造旅游服务优质、商业配套完善的综合服务区。增设或改造公共服务、加工包装、产品研发、冷链仓储、物流配送、生活服务等基础设施建设，加快通信网络设施建设，协调移动、电信、联通等通信运营商，推进互联网宽带基础设施建设与完善，提高城乡宽带网络普及和接入能力，扩大网络覆盖，增加宽带带宽，为全市电子商务企业提供优质接入服务，完善路网、动力以及水、电、气等基础设施。结合电子商务进农村，整合商贸、物流快递等资源，推动寄递物流公共服务平台建设，开展共同配送，进一步完善三级物流共配体系。利用基础设施建设，盘活分散的空间资源，完善“一刻钟”便民生活服务功能，打造业态齐备、服务便利、消费放心的社区商业服务体系，积极应用大数据实现数字化、智能化管理。在乡村</w:t>
      </w:r>
      <w:r>
        <w:rPr>
          <w:rFonts w:ascii="仿宋_GB2312" w:hAnsi="仿宋_GB2312" w:eastAsia="仿宋_GB2312" w:cs="仿宋_GB2312"/>
          <w:kern w:val="0"/>
          <w:sz w:val="24"/>
          <w:szCs w:val="24"/>
        </w:rPr>
        <w:t>e</w:t>
      </w:r>
      <w:r>
        <w:rPr>
          <w:rFonts w:hint="eastAsia" w:ascii="仿宋_GB2312" w:hAnsi="仿宋_GB2312" w:eastAsia="仿宋_GB2312" w:cs="仿宋_GB2312"/>
          <w:kern w:val="0"/>
          <w:sz w:val="24"/>
          <w:szCs w:val="24"/>
        </w:rPr>
        <w:t>镇醒目位置，按照地标的理念，结合我市的文化、产业等，设立乡村</w:t>
      </w:r>
      <w:r>
        <w:rPr>
          <w:rFonts w:ascii="仿宋_GB2312" w:hAnsi="仿宋_GB2312" w:eastAsia="仿宋_GB2312" w:cs="仿宋_GB2312"/>
          <w:kern w:val="0"/>
          <w:sz w:val="24"/>
          <w:szCs w:val="24"/>
        </w:rPr>
        <w:t>e</w:t>
      </w:r>
      <w:r>
        <w:rPr>
          <w:rFonts w:hint="eastAsia" w:ascii="仿宋_GB2312" w:hAnsi="仿宋_GB2312" w:eastAsia="仿宋_GB2312" w:cs="仿宋_GB2312"/>
          <w:kern w:val="0"/>
          <w:sz w:val="24"/>
          <w:szCs w:val="24"/>
        </w:rPr>
        <w:t>镇标识。</w:t>
      </w:r>
    </w:p>
    <w:p>
      <w:pPr>
        <w:pStyle w:val="5"/>
        <w:pageBreakBefore w:val="0"/>
        <w:widowControl w:val="0"/>
        <w:kinsoku/>
        <w:wordWrap/>
        <w:overflowPunct/>
        <w:topLinePunct w:val="0"/>
        <w:autoSpaceDE/>
        <w:autoSpaceDN/>
        <w:bidi w:val="0"/>
        <w:adjustRightInd/>
        <w:snapToGrid w:val="0"/>
        <w:spacing w:line="480" w:lineRule="exact"/>
      </w:pPr>
      <w:bookmarkStart w:id="112" w:name="_Toc656"/>
      <w:r>
        <w:rPr>
          <w:rFonts w:hint="eastAsia"/>
        </w:rPr>
        <w:t>（八）健全物流配送体系</w:t>
      </w:r>
      <w:bookmarkEnd w:id="112"/>
    </w:p>
    <w:p>
      <w:pPr>
        <w:bidi w:val="0"/>
      </w:pPr>
      <w:bookmarkStart w:id="113" w:name="_Toc30884"/>
      <w:r>
        <w:rPr>
          <w:rFonts w:hint="eastAsia"/>
        </w:rPr>
        <w:t>根据乡村</w:t>
      </w:r>
      <w:r>
        <w:t>e</w:t>
      </w:r>
      <w:r>
        <w:rPr>
          <w:rFonts w:hint="eastAsia"/>
        </w:rPr>
        <w:t>镇实际发展需要，结合景区生活保障供应链需求和农产品上行需求，依托电子商务进农村综合示范物流仓储中心优势建立一个乡村</w:t>
      </w:r>
      <w:r>
        <w:t>e</w:t>
      </w:r>
      <w:r>
        <w:rPr>
          <w:rFonts w:hint="eastAsia"/>
        </w:rPr>
        <w:t>镇物流配送分中心。以乡村</w:t>
      </w:r>
      <w:r>
        <w:t>e</w:t>
      </w:r>
      <w:r>
        <w:rPr>
          <w:rFonts w:hint="eastAsia"/>
        </w:rPr>
        <w:t>镇为核心载体，推动寄递物流公共信息服务平台建设，促进信息共享、数据互联，创新创造原平“市乡村”三级共配新模式。以原平市“乡村</w:t>
      </w:r>
      <w:r>
        <w:t>e</w:t>
      </w:r>
      <w:r>
        <w:rPr>
          <w:rFonts w:hint="eastAsia"/>
        </w:rPr>
        <w:t>镇”全新物流配送体系打造为节点和契机，进一步引导邮政、快递、物流、商贸流通等企业开展市场化合作，不断优化完善“市乡村”三级共配方案，建立共同配送服务规范和运营机制，逐步实现统一仓储、分拣、配送、揽件等，推动市域物流快递统仓共配，为原平市畅通线上线下相融合的“农产品进城”和“工业品下乡”双向流通渠道。</w:t>
      </w:r>
      <w:bookmarkEnd w:id="113"/>
    </w:p>
    <w:p>
      <w:pPr>
        <w:pStyle w:val="5"/>
        <w:pageBreakBefore w:val="0"/>
        <w:widowControl w:val="0"/>
        <w:kinsoku/>
        <w:wordWrap/>
        <w:overflowPunct/>
        <w:topLinePunct w:val="0"/>
        <w:autoSpaceDE/>
        <w:autoSpaceDN/>
        <w:bidi w:val="0"/>
        <w:adjustRightInd/>
        <w:snapToGrid w:val="0"/>
        <w:spacing w:line="480" w:lineRule="exact"/>
      </w:pPr>
      <w:bookmarkStart w:id="114" w:name="_Toc27725"/>
      <w:r>
        <w:rPr>
          <w:rFonts w:hint="eastAsia"/>
        </w:rPr>
        <w:t>（九）加大招商引资力度</w:t>
      </w:r>
      <w:bookmarkEnd w:id="114"/>
    </w:p>
    <w:p>
      <w:pPr>
        <w:bidi w:val="0"/>
        <w:rPr>
          <w:rFonts w:hint="eastAsia"/>
        </w:rPr>
      </w:pPr>
      <w:r>
        <w:rPr>
          <w:rFonts w:hint="eastAsia"/>
        </w:rPr>
        <w:t>在乡村</w:t>
      </w:r>
      <w:r>
        <w:t>e</w:t>
      </w:r>
      <w:r>
        <w:rPr>
          <w:rFonts w:hint="eastAsia"/>
        </w:rPr>
        <w:t>镇内推动“放管服”改革，创新管理模式，提高服务水平，营造良好营商环境。围绕乡村</w:t>
      </w:r>
      <w:r>
        <w:t>e</w:t>
      </w:r>
      <w:r>
        <w:rPr>
          <w:rFonts w:hint="eastAsia"/>
        </w:rPr>
        <w:t>镇建设，充分发挥乡村</w:t>
      </w:r>
      <w:r>
        <w:t>e</w:t>
      </w:r>
      <w:r>
        <w:rPr>
          <w:rFonts w:hint="eastAsia"/>
        </w:rPr>
        <w:t>镇与爱木图景区结合平台的作用，制定并出台相关招商引资优惠政策及人才促进措施，加大招商引资、招才引智力度。充分利用原平市乡村</w:t>
      </w:r>
      <w:r>
        <w:t>e</w:t>
      </w:r>
      <w:r>
        <w:rPr>
          <w:rFonts w:hint="eastAsia"/>
        </w:rPr>
        <w:t>镇所在区域野庄村、木图村得天独厚的环境优势和商贸古镇配套，创建极具吸引人才的生活工作环境，健全有利于企业入镇发展的配套设施。同时爱木图古村是原平人的古村，考虑吸引更多的原平人加入古村旅游建设管理经营当中，通过原平人的口碑宣传和人脉关系带动古村旅游商业发展。因此原平乡村</w:t>
      </w:r>
      <w:r>
        <w:t>e</w:t>
      </w:r>
      <w:r>
        <w:rPr>
          <w:rFonts w:hint="eastAsia"/>
        </w:rPr>
        <w:t>镇采用“产镇旅融合”</w:t>
      </w:r>
      <w:r>
        <w:t>+</w:t>
      </w:r>
      <w:r>
        <w:rPr>
          <w:rFonts w:hint="eastAsia"/>
        </w:rPr>
        <w:t>“当家作主”二模合一的招商模式，突出精准招商，提升招商质量，推进乡村</w:t>
      </w:r>
      <w:r>
        <w:t>e</w:t>
      </w:r>
      <w:r>
        <w:rPr>
          <w:rFonts w:hint="eastAsia"/>
        </w:rPr>
        <w:t>镇高质量发展。引进有建设资源、实力雄厚、专业性和可持续性强的省内外企业承接乡村</w:t>
      </w:r>
      <w:r>
        <w:t>e</w:t>
      </w:r>
      <w:r>
        <w:rPr>
          <w:rFonts w:hint="eastAsia"/>
        </w:rPr>
        <w:t>镇建设和运营。</w:t>
      </w:r>
    </w:p>
    <w:p>
      <w:pPr>
        <w:pStyle w:val="5"/>
        <w:pageBreakBefore w:val="0"/>
        <w:widowControl w:val="0"/>
        <w:kinsoku/>
        <w:wordWrap/>
        <w:overflowPunct/>
        <w:topLinePunct w:val="0"/>
        <w:autoSpaceDE/>
        <w:autoSpaceDN/>
        <w:bidi w:val="0"/>
        <w:adjustRightInd/>
        <w:snapToGrid w:val="0"/>
        <w:spacing w:line="480" w:lineRule="exact"/>
      </w:pPr>
      <w:r>
        <w:rPr>
          <w:rFonts w:hint="eastAsia"/>
        </w:rPr>
        <w:t>（十）促进创业创新</w:t>
      </w:r>
    </w:p>
    <w:p>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outlineLvl w:val="9"/>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一样的古镇，不一样的爱木图。充分发挥乡村</w:t>
      </w:r>
      <w:r>
        <w:rPr>
          <w:rFonts w:ascii="仿宋_GB2312" w:hAnsi="仿宋_GB2312" w:eastAsia="仿宋_GB2312" w:cs="仿宋_GB2312"/>
          <w:kern w:val="0"/>
          <w:sz w:val="24"/>
          <w:szCs w:val="24"/>
        </w:rPr>
        <w:t>e</w:t>
      </w:r>
      <w:r>
        <w:rPr>
          <w:rFonts w:hint="eastAsia" w:ascii="仿宋_GB2312" w:hAnsi="仿宋_GB2312" w:eastAsia="仿宋_GB2312" w:cs="仿宋_GB2312"/>
          <w:kern w:val="0"/>
          <w:sz w:val="24"/>
          <w:szCs w:val="24"/>
        </w:rPr>
        <w:t>镇的政策和配套优势，依托爱木图景区独特的区位环境优势和红色旅游文化特色，营造有利于创业创新的良好氛围，支持新技术、新产业、新产品、新模式发展。发展众创空间等新型孵化器，不断完善技术支撑服务和创业孵化服务，提升孵化能力。健全研发设计、成果孵化、金融导入、场景应用相结合的创新创业服务体系，融合升级</w:t>
      </w:r>
      <w:r>
        <w:rPr>
          <w:rFonts w:ascii="仿宋_GB2312" w:hAnsi="仿宋_GB2312" w:eastAsia="仿宋_GB2312" w:cs="仿宋_GB2312"/>
          <w:kern w:val="0"/>
          <w:sz w:val="24"/>
          <w:szCs w:val="24"/>
        </w:rPr>
        <w:t>1</w:t>
      </w:r>
      <w:r>
        <w:rPr>
          <w:rFonts w:hint="eastAsia" w:ascii="仿宋_GB2312" w:hAnsi="仿宋_GB2312" w:eastAsia="仿宋_GB2312" w:cs="仿宋_GB2312"/>
          <w:kern w:val="0"/>
          <w:sz w:val="24"/>
          <w:szCs w:val="24"/>
        </w:rPr>
        <w:t>至</w:t>
      </w:r>
      <w:r>
        <w:rPr>
          <w:rFonts w:ascii="仿宋_GB2312" w:hAnsi="仿宋_GB2312" w:eastAsia="仿宋_GB2312" w:cs="仿宋_GB2312"/>
          <w:kern w:val="0"/>
          <w:sz w:val="24"/>
          <w:szCs w:val="24"/>
        </w:rPr>
        <w:t>2</w:t>
      </w:r>
      <w:r>
        <w:rPr>
          <w:rFonts w:hint="eastAsia" w:ascii="仿宋_GB2312" w:hAnsi="仿宋_GB2312" w:eastAsia="仿宋_GB2312" w:cs="仿宋_GB2312"/>
          <w:kern w:val="0"/>
          <w:sz w:val="24"/>
          <w:szCs w:val="24"/>
        </w:rPr>
        <w:t>个电商研发机构，不断推动乡村</w:t>
      </w:r>
      <w:r>
        <w:rPr>
          <w:rFonts w:ascii="仿宋_GB2312" w:hAnsi="仿宋_GB2312" w:eastAsia="仿宋_GB2312" w:cs="仿宋_GB2312"/>
          <w:kern w:val="0"/>
          <w:sz w:val="24"/>
          <w:szCs w:val="24"/>
        </w:rPr>
        <w:t>e</w:t>
      </w:r>
      <w:r>
        <w:rPr>
          <w:rFonts w:hint="eastAsia" w:ascii="仿宋_GB2312" w:hAnsi="仿宋_GB2312" w:eastAsia="仿宋_GB2312" w:cs="仿宋_GB2312"/>
          <w:kern w:val="0"/>
          <w:sz w:val="24"/>
          <w:szCs w:val="24"/>
        </w:rPr>
        <w:t>镇创业孵化与原平酥梨深加工产品科研技术成果转化结合，推动梨膏、梨膏糖、梨酒、梨醋、梨木工艺品等多个高附加值产品生产，打造研发实力标杆，启发国牌酥梨未来之路。同时在乡村</w:t>
      </w:r>
      <w:r>
        <w:rPr>
          <w:rFonts w:ascii="仿宋_GB2312" w:hAnsi="仿宋_GB2312" w:eastAsia="仿宋_GB2312" w:cs="仿宋_GB2312"/>
          <w:kern w:val="0"/>
          <w:sz w:val="24"/>
          <w:szCs w:val="24"/>
        </w:rPr>
        <w:t>e</w:t>
      </w:r>
      <w:r>
        <w:rPr>
          <w:rFonts w:hint="eastAsia" w:ascii="仿宋_GB2312" w:hAnsi="仿宋_GB2312" w:eastAsia="仿宋_GB2312" w:cs="仿宋_GB2312"/>
          <w:kern w:val="0"/>
          <w:sz w:val="24"/>
          <w:szCs w:val="24"/>
        </w:rPr>
        <w:t>镇内设立</w:t>
      </w:r>
      <w:r>
        <w:rPr>
          <w:rFonts w:ascii="仿宋_GB2312" w:hAnsi="仿宋_GB2312" w:eastAsia="仿宋_GB2312" w:cs="仿宋_GB2312"/>
          <w:kern w:val="0"/>
          <w:sz w:val="24"/>
          <w:szCs w:val="24"/>
        </w:rPr>
        <w:t>1</w:t>
      </w:r>
      <w:r>
        <w:rPr>
          <w:rFonts w:hint="eastAsia" w:ascii="仿宋_GB2312" w:hAnsi="仿宋_GB2312" w:eastAsia="仿宋_GB2312" w:cs="仿宋_GB2312"/>
          <w:kern w:val="0"/>
          <w:sz w:val="24"/>
          <w:szCs w:val="24"/>
        </w:rPr>
        <w:t>个金融服务网点和</w:t>
      </w:r>
      <w:r>
        <w:rPr>
          <w:rFonts w:ascii="仿宋_GB2312" w:hAnsi="仿宋_GB2312" w:eastAsia="仿宋_GB2312" w:cs="仿宋_GB2312"/>
          <w:kern w:val="0"/>
          <w:sz w:val="24"/>
          <w:szCs w:val="24"/>
        </w:rPr>
        <w:t>1</w:t>
      </w:r>
      <w:r>
        <w:rPr>
          <w:rFonts w:hint="eastAsia" w:ascii="仿宋_GB2312" w:hAnsi="仿宋_GB2312" w:eastAsia="仿宋_GB2312" w:cs="仿宋_GB2312"/>
          <w:kern w:val="0"/>
          <w:sz w:val="24"/>
          <w:szCs w:val="24"/>
        </w:rPr>
        <w:t>个通讯服务网点，为</w:t>
      </w:r>
      <w:r>
        <w:rPr>
          <w:rFonts w:ascii="仿宋_GB2312" w:hAnsi="仿宋_GB2312" w:eastAsia="仿宋_GB2312" w:cs="仿宋_GB2312"/>
          <w:kern w:val="0"/>
          <w:sz w:val="24"/>
          <w:szCs w:val="24"/>
        </w:rPr>
        <w:t>e</w:t>
      </w:r>
      <w:r>
        <w:rPr>
          <w:rFonts w:hint="eastAsia" w:ascii="仿宋_GB2312" w:hAnsi="仿宋_GB2312" w:eastAsia="仿宋_GB2312" w:cs="仿宋_GB2312"/>
          <w:kern w:val="0"/>
          <w:sz w:val="24"/>
          <w:szCs w:val="24"/>
        </w:rPr>
        <w:t>镇创业创新提供金融及网络支撑。抢抓机遇，依托乡村</w:t>
      </w:r>
      <w:r>
        <w:rPr>
          <w:rFonts w:ascii="仿宋_GB2312" w:hAnsi="仿宋_GB2312" w:eastAsia="仿宋_GB2312" w:cs="仿宋_GB2312"/>
          <w:kern w:val="0"/>
          <w:sz w:val="24"/>
          <w:szCs w:val="24"/>
        </w:rPr>
        <w:t>e</w:t>
      </w:r>
      <w:r>
        <w:rPr>
          <w:rFonts w:hint="eastAsia" w:ascii="仿宋_GB2312" w:hAnsi="仿宋_GB2312" w:eastAsia="仿宋_GB2312" w:cs="仿宋_GB2312"/>
          <w:kern w:val="0"/>
          <w:sz w:val="24"/>
          <w:szCs w:val="24"/>
        </w:rPr>
        <w:t>镇创新优势，全力打造原平酥梨及酥梨延伸产品核心技术产业生态，进一步推动前沿技术突破，实现产业链、价值链和创新链等各环节协调发展，推动原平数字经济发展迈向新台阶，促进大数据、物联网、云计算、人工智能、区块链等技术创新应用。</w:t>
      </w:r>
    </w:p>
    <w:p>
      <w:pPr>
        <w:keepNext w:val="0"/>
        <w:keepLines w:val="0"/>
        <w:pageBreakBefore w:val="0"/>
        <w:widowControl w:val="0"/>
        <w:kinsoku/>
        <w:wordWrap/>
        <w:overflowPunct/>
        <w:topLinePunct w:val="0"/>
        <w:autoSpaceDE/>
        <w:autoSpaceDN/>
        <w:bidi w:val="0"/>
        <w:adjustRightInd/>
        <w:snapToGrid w:val="0"/>
        <w:spacing w:line="480" w:lineRule="exact"/>
        <w:ind w:firstLine="520" w:firstLineChars="200"/>
        <w:textAlignment w:val="baseline"/>
        <w:outlineLvl w:val="9"/>
        <w:rPr>
          <w:rFonts w:hint="eastAsia" w:ascii="黑体" w:hAnsi="黑体" w:eastAsia="黑体" w:cs="黑体"/>
          <w:color w:val="000000"/>
          <w:kern w:val="0"/>
          <w:sz w:val="26"/>
          <w:szCs w:val="26"/>
        </w:rPr>
      </w:pPr>
      <w:bookmarkStart w:id="115" w:name="_Toc22807"/>
      <w:r>
        <w:rPr>
          <w:rFonts w:hint="eastAsia" w:ascii="黑体" w:hAnsi="黑体" w:eastAsia="黑体" w:cs="黑体"/>
          <w:color w:val="000000"/>
          <w:kern w:val="0"/>
          <w:sz w:val="26"/>
          <w:szCs w:val="26"/>
        </w:rPr>
        <w:t>五、进度安排</w:t>
      </w:r>
      <w:bookmarkEnd w:id="115"/>
    </w:p>
    <w:p>
      <w:pPr>
        <w:pStyle w:val="5"/>
        <w:pageBreakBefore w:val="0"/>
        <w:widowControl w:val="0"/>
        <w:kinsoku/>
        <w:wordWrap/>
        <w:overflowPunct/>
        <w:topLinePunct w:val="0"/>
        <w:autoSpaceDE/>
        <w:autoSpaceDN/>
        <w:bidi w:val="0"/>
        <w:adjustRightInd/>
        <w:snapToGrid w:val="0"/>
        <w:spacing w:line="480" w:lineRule="exact"/>
      </w:pPr>
      <w:bookmarkStart w:id="116" w:name="_Toc7961"/>
      <w:r>
        <w:rPr>
          <w:rFonts w:hint="eastAsia"/>
        </w:rPr>
        <w:t>（一）启动阶段（</w:t>
      </w:r>
      <w:r>
        <w:t>2022</w:t>
      </w:r>
      <w:r>
        <w:rPr>
          <w:rFonts w:hint="eastAsia"/>
        </w:rPr>
        <w:t>年</w:t>
      </w:r>
      <w:r>
        <w:t>9</w:t>
      </w:r>
      <w:r>
        <w:rPr>
          <w:rFonts w:hint="eastAsia"/>
        </w:rPr>
        <w:t>月前）</w:t>
      </w:r>
      <w:bookmarkEnd w:id="116"/>
    </w:p>
    <w:p>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outlineLvl w:val="9"/>
        <w:rPr>
          <w:rFonts w:ascii="仿宋_GB2312" w:hAnsi="仿宋_GB2312" w:eastAsia="仿宋_GB2312" w:cs="仿宋_GB2312"/>
          <w:kern w:val="0"/>
          <w:sz w:val="24"/>
          <w:szCs w:val="24"/>
        </w:rPr>
      </w:pPr>
      <w:r>
        <w:rPr>
          <w:rFonts w:ascii="仿宋_GB2312" w:hAnsi="仿宋_GB2312" w:eastAsia="仿宋_GB2312" w:cs="仿宋_GB2312"/>
          <w:kern w:val="0"/>
          <w:sz w:val="24"/>
          <w:szCs w:val="24"/>
        </w:rPr>
        <w:t>1</w:t>
      </w:r>
      <w:r>
        <w:rPr>
          <w:rFonts w:hint="eastAsia" w:ascii="仿宋_GB2312" w:hAnsi="仿宋_GB2312" w:eastAsia="仿宋_GB2312" w:cs="仿宋_GB2312"/>
          <w:kern w:val="0"/>
          <w:sz w:val="24"/>
          <w:szCs w:val="24"/>
        </w:rPr>
        <w:t>、情况摸底。对经济发展、产业基础、电商基础、物流快递、特色产业和特色产品情况进行摸底排查。</w:t>
      </w:r>
    </w:p>
    <w:p>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outlineLvl w:val="9"/>
        <w:rPr>
          <w:rFonts w:ascii="仿宋_GB2312" w:hAnsi="仿宋_GB2312" w:eastAsia="仿宋_GB2312" w:cs="仿宋_GB2312"/>
          <w:kern w:val="0"/>
          <w:sz w:val="24"/>
          <w:szCs w:val="24"/>
        </w:rPr>
      </w:pPr>
      <w:r>
        <w:rPr>
          <w:rFonts w:ascii="仿宋_GB2312" w:hAnsi="仿宋_GB2312" w:eastAsia="仿宋_GB2312" w:cs="仿宋_GB2312"/>
          <w:kern w:val="0"/>
          <w:sz w:val="24"/>
          <w:szCs w:val="24"/>
        </w:rPr>
        <w:t>2</w:t>
      </w:r>
      <w:r>
        <w:rPr>
          <w:rFonts w:hint="eastAsia" w:ascii="仿宋_GB2312" w:hAnsi="仿宋_GB2312" w:eastAsia="仿宋_GB2312" w:cs="仿宋_GB2312"/>
          <w:kern w:val="0"/>
          <w:sz w:val="24"/>
          <w:szCs w:val="24"/>
        </w:rPr>
        <w:t>、落实方案。成立原平市培育乡村</w:t>
      </w:r>
      <w:r>
        <w:rPr>
          <w:rFonts w:ascii="仿宋_GB2312" w:hAnsi="仿宋_GB2312" w:eastAsia="仿宋_GB2312" w:cs="仿宋_GB2312"/>
          <w:kern w:val="0"/>
          <w:sz w:val="24"/>
          <w:szCs w:val="24"/>
        </w:rPr>
        <w:t>e</w:t>
      </w:r>
      <w:r>
        <w:rPr>
          <w:rFonts w:hint="eastAsia" w:ascii="仿宋_GB2312" w:hAnsi="仿宋_GB2312" w:eastAsia="仿宋_GB2312" w:cs="仿宋_GB2312"/>
          <w:kern w:val="0"/>
          <w:sz w:val="24"/>
          <w:szCs w:val="24"/>
        </w:rPr>
        <w:t>镇工作领导组，推进实施方案的起草、制定、报备和公示。</w:t>
      </w:r>
    </w:p>
    <w:p>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outlineLvl w:val="9"/>
        <w:rPr>
          <w:rFonts w:ascii="仿宋_GB2312" w:hAnsi="仿宋_GB2312" w:eastAsia="仿宋_GB2312" w:cs="仿宋_GB2312"/>
          <w:kern w:val="0"/>
          <w:sz w:val="24"/>
          <w:szCs w:val="24"/>
        </w:rPr>
      </w:pPr>
      <w:r>
        <w:rPr>
          <w:rFonts w:ascii="仿宋_GB2312" w:hAnsi="仿宋_GB2312" w:eastAsia="仿宋_GB2312" w:cs="仿宋_GB2312"/>
          <w:kern w:val="0"/>
          <w:sz w:val="24"/>
          <w:szCs w:val="24"/>
        </w:rPr>
        <w:t>3</w:t>
      </w:r>
      <w:r>
        <w:rPr>
          <w:rFonts w:hint="eastAsia" w:ascii="仿宋_GB2312" w:hAnsi="仿宋_GB2312" w:eastAsia="仿宋_GB2312" w:cs="仿宋_GB2312"/>
          <w:kern w:val="0"/>
          <w:sz w:val="24"/>
          <w:szCs w:val="24"/>
        </w:rPr>
        <w:t>、宣传发动。利用新闻媒体、广播电台、公众号、报纸传单、农村广播、悬挂横幅等形式对乡村</w:t>
      </w:r>
      <w:r>
        <w:rPr>
          <w:rFonts w:ascii="仿宋_GB2312" w:hAnsi="仿宋_GB2312" w:eastAsia="仿宋_GB2312" w:cs="仿宋_GB2312"/>
          <w:kern w:val="0"/>
          <w:sz w:val="24"/>
          <w:szCs w:val="24"/>
        </w:rPr>
        <w:t>e</w:t>
      </w:r>
      <w:r>
        <w:rPr>
          <w:rFonts w:hint="eastAsia" w:ascii="仿宋_GB2312" w:hAnsi="仿宋_GB2312" w:eastAsia="仿宋_GB2312" w:cs="仿宋_GB2312"/>
          <w:kern w:val="0"/>
          <w:sz w:val="24"/>
          <w:szCs w:val="24"/>
        </w:rPr>
        <w:t>镇进行宣传，营造全民参与的浓厚氛围。</w:t>
      </w:r>
    </w:p>
    <w:p>
      <w:pPr>
        <w:pStyle w:val="5"/>
        <w:pageBreakBefore w:val="0"/>
        <w:widowControl w:val="0"/>
        <w:kinsoku/>
        <w:wordWrap/>
        <w:overflowPunct/>
        <w:topLinePunct w:val="0"/>
        <w:autoSpaceDE/>
        <w:autoSpaceDN/>
        <w:bidi w:val="0"/>
        <w:adjustRightInd/>
        <w:snapToGrid w:val="0"/>
        <w:spacing w:line="480" w:lineRule="exact"/>
      </w:pPr>
      <w:bookmarkStart w:id="117" w:name="_Toc15586"/>
      <w:r>
        <w:rPr>
          <w:rFonts w:hint="eastAsia"/>
        </w:rPr>
        <w:t>（二）实施阶段（</w:t>
      </w:r>
      <w:r>
        <w:t>2022</w:t>
      </w:r>
      <w:r>
        <w:rPr>
          <w:rFonts w:hint="eastAsia"/>
        </w:rPr>
        <w:t>年</w:t>
      </w:r>
      <w:r>
        <w:t>9</w:t>
      </w:r>
      <w:r>
        <w:rPr>
          <w:rFonts w:hint="eastAsia"/>
        </w:rPr>
        <w:t>月—</w:t>
      </w:r>
      <w:r>
        <w:t>2023</w:t>
      </w:r>
      <w:r>
        <w:rPr>
          <w:rFonts w:hint="eastAsia"/>
        </w:rPr>
        <w:t>年</w:t>
      </w:r>
      <w:r>
        <w:t>11</w:t>
      </w:r>
      <w:r>
        <w:rPr>
          <w:rFonts w:hint="eastAsia"/>
        </w:rPr>
        <w:t>月）</w:t>
      </w:r>
      <w:bookmarkEnd w:id="117"/>
    </w:p>
    <w:p>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outlineLvl w:val="9"/>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为确保培育乡村</w:t>
      </w:r>
      <w:r>
        <w:rPr>
          <w:rFonts w:ascii="仿宋_GB2312" w:hAnsi="仿宋_GB2312" w:eastAsia="仿宋_GB2312" w:cs="仿宋_GB2312"/>
          <w:kern w:val="0"/>
          <w:sz w:val="24"/>
          <w:szCs w:val="24"/>
        </w:rPr>
        <w:t>e</w:t>
      </w:r>
      <w:r>
        <w:rPr>
          <w:rFonts w:hint="eastAsia" w:ascii="仿宋_GB2312" w:hAnsi="仿宋_GB2312" w:eastAsia="仿宋_GB2312" w:cs="仿宋_GB2312"/>
          <w:kern w:val="0"/>
          <w:sz w:val="24"/>
          <w:szCs w:val="24"/>
        </w:rPr>
        <w:t>镇工作顺利实施，按时完成目标任务，按照公平公正公开的原则，通过政府采购等方式选拔相关承办单位，并与承办单位签订项目建设合同，对相关单位明确职责，细化分工，量化管理。</w:t>
      </w:r>
    </w:p>
    <w:p>
      <w:pPr>
        <w:pStyle w:val="5"/>
        <w:pageBreakBefore w:val="0"/>
        <w:widowControl w:val="0"/>
        <w:kinsoku/>
        <w:wordWrap/>
        <w:overflowPunct/>
        <w:topLinePunct w:val="0"/>
        <w:autoSpaceDE/>
        <w:autoSpaceDN/>
        <w:bidi w:val="0"/>
        <w:adjustRightInd/>
        <w:snapToGrid w:val="0"/>
        <w:spacing w:line="480" w:lineRule="exact"/>
      </w:pPr>
      <w:bookmarkStart w:id="118" w:name="_Toc5450"/>
      <w:r>
        <w:rPr>
          <w:rFonts w:hint="eastAsia"/>
        </w:rPr>
        <w:t>（三）验收总结阶段（</w:t>
      </w:r>
      <w:r>
        <w:t>2023</w:t>
      </w:r>
      <w:r>
        <w:rPr>
          <w:rFonts w:hint="eastAsia"/>
        </w:rPr>
        <w:t>年</w:t>
      </w:r>
      <w:r>
        <w:t>11</w:t>
      </w:r>
      <w:r>
        <w:rPr>
          <w:rFonts w:hint="eastAsia"/>
        </w:rPr>
        <w:t>月—</w:t>
      </w:r>
      <w:r>
        <w:t>2023</w:t>
      </w:r>
      <w:r>
        <w:rPr>
          <w:rFonts w:hint="eastAsia"/>
        </w:rPr>
        <w:t>年</w:t>
      </w:r>
      <w:r>
        <w:t>12</w:t>
      </w:r>
      <w:r>
        <w:rPr>
          <w:rFonts w:hint="eastAsia"/>
        </w:rPr>
        <w:t>月）</w:t>
      </w:r>
      <w:bookmarkEnd w:id="118"/>
    </w:p>
    <w:p>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outlineLvl w:val="9"/>
        <w:rPr>
          <w:rFonts w:ascii="仿宋_GB2312" w:hAnsi="仿宋_GB2312" w:eastAsia="仿宋_GB2312" w:cs="仿宋_GB2312"/>
          <w:sz w:val="24"/>
          <w:szCs w:val="24"/>
        </w:rPr>
      </w:pPr>
      <w:r>
        <w:rPr>
          <w:rFonts w:hint="eastAsia" w:ascii="仿宋_GB2312" w:hAnsi="仿宋_GB2312" w:eastAsia="仿宋_GB2312" w:cs="仿宋_GB2312"/>
          <w:kern w:val="0"/>
          <w:sz w:val="24"/>
          <w:szCs w:val="24"/>
        </w:rPr>
        <w:t>培育乡村</w:t>
      </w:r>
      <w:r>
        <w:rPr>
          <w:rFonts w:ascii="仿宋_GB2312" w:hAnsi="仿宋_GB2312" w:eastAsia="仿宋_GB2312" w:cs="仿宋_GB2312"/>
          <w:kern w:val="0"/>
          <w:sz w:val="24"/>
          <w:szCs w:val="24"/>
        </w:rPr>
        <w:t>e</w:t>
      </w:r>
      <w:r>
        <w:rPr>
          <w:rFonts w:hint="eastAsia" w:ascii="仿宋_GB2312" w:hAnsi="仿宋_GB2312" w:eastAsia="仿宋_GB2312" w:cs="仿宋_GB2312"/>
          <w:kern w:val="0"/>
          <w:sz w:val="24"/>
          <w:szCs w:val="24"/>
        </w:rPr>
        <w:t>镇工作实施完成后，由承办单位提出验收申请，</w:t>
      </w:r>
      <w:r>
        <w:rPr>
          <w:rFonts w:hint="eastAsia" w:ascii="仿宋_GB2312" w:hAnsi="仿宋_GB2312" w:eastAsia="仿宋_GB2312" w:cs="仿宋_GB2312"/>
          <w:sz w:val="24"/>
          <w:szCs w:val="24"/>
        </w:rPr>
        <w:t>市政府聘请有专业胜任能力的第三方机构开展检查和验收工作</w:t>
      </w:r>
      <w:r>
        <w:rPr>
          <w:rFonts w:hint="eastAsia" w:ascii="仿宋_GB2312" w:hAnsi="仿宋_GB2312" w:eastAsia="仿宋_GB2312" w:cs="仿宋_GB2312"/>
          <w:kern w:val="0"/>
          <w:sz w:val="24"/>
          <w:szCs w:val="24"/>
        </w:rPr>
        <w:t>，发现问题，及时完成整改</w:t>
      </w:r>
      <w:r>
        <w:rPr>
          <w:rFonts w:hint="eastAsia" w:ascii="仿宋_GB2312" w:hAnsi="仿宋_GB2312" w:eastAsia="仿宋_GB2312" w:cs="仿宋_GB2312"/>
          <w:sz w:val="24"/>
          <w:szCs w:val="24"/>
        </w:rPr>
        <w:t>，以确保乡村</w:t>
      </w:r>
      <w:r>
        <w:rPr>
          <w:rFonts w:ascii="仿宋_GB2312" w:hAnsi="仿宋_GB2312" w:eastAsia="仿宋_GB2312" w:cs="仿宋_GB2312"/>
          <w:sz w:val="24"/>
          <w:szCs w:val="24"/>
        </w:rPr>
        <w:t>e</w:t>
      </w:r>
      <w:r>
        <w:rPr>
          <w:rFonts w:hint="eastAsia" w:ascii="仿宋_GB2312" w:hAnsi="仿宋_GB2312" w:eastAsia="仿宋_GB2312" w:cs="仿宋_GB2312"/>
          <w:sz w:val="24"/>
          <w:szCs w:val="24"/>
        </w:rPr>
        <w:t>镇的建设效果。</w:t>
      </w:r>
    </w:p>
    <w:p>
      <w:pPr>
        <w:keepNext w:val="0"/>
        <w:keepLines w:val="0"/>
        <w:pageBreakBefore w:val="0"/>
        <w:widowControl w:val="0"/>
        <w:kinsoku/>
        <w:wordWrap/>
        <w:overflowPunct/>
        <w:topLinePunct w:val="0"/>
        <w:autoSpaceDE/>
        <w:autoSpaceDN/>
        <w:bidi w:val="0"/>
        <w:adjustRightInd/>
        <w:snapToGrid w:val="0"/>
        <w:spacing w:line="480" w:lineRule="exact"/>
        <w:ind w:firstLine="520" w:firstLineChars="200"/>
        <w:textAlignment w:val="baseline"/>
        <w:outlineLvl w:val="9"/>
        <w:rPr>
          <w:rFonts w:hint="eastAsia" w:ascii="黑体" w:hAnsi="黑体" w:eastAsia="黑体" w:cs="黑体"/>
          <w:color w:val="000000"/>
          <w:kern w:val="0"/>
          <w:sz w:val="26"/>
          <w:szCs w:val="26"/>
        </w:rPr>
      </w:pPr>
      <w:bookmarkStart w:id="119" w:name="_Toc13110"/>
      <w:r>
        <w:rPr>
          <w:rFonts w:hint="eastAsia" w:ascii="黑体" w:hAnsi="黑体" w:eastAsia="黑体" w:cs="黑体"/>
          <w:color w:val="000000"/>
          <w:kern w:val="0"/>
          <w:sz w:val="26"/>
          <w:szCs w:val="26"/>
        </w:rPr>
        <w:t>六、投资规模</w:t>
      </w:r>
      <w:bookmarkEnd w:id="119"/>
    </w:p>
    <w:p>
      <w:pPr>
        <w:pStyle w:val="12"/>
        <w:keepNext w:val="0"/>
        <w:keepLines w:val="0"/>
        <w:pageBreakBefore w:val="0"/>
        <w:widowControl w:val="0"/>
        <w:kinsoku/>
        <w:wordWrap/>
        <w:overflowPunct/>
        <w:topLinePunct w:val="0"/>
        <w:autoSpaceDE/>
        <w:autoSpaceDN/>
        <w:bidi w:val="0"/>
        <w:adjustRightInd/>
        <w:snapToGrid w:val="0"/>
        <w:spacing w:line="480" w:lineRule="exact"/>
        <w:ind w:firstLine="480" w:firstLineChars="200"/>
        <w:outlineLvl w:val="9"/>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原平市爱木图乡村</w:t>
      </w:r>
      <w:r>
        <w:rPr>
          <w:rFonts w:ascii="仿宋_GB2312" w:hAnsi="仿宋_GB2312" w:eastAsia="仿宋_GB2312" w:cs="仿宋_GB2312"/>
          <w:kern w:val="0"/>
          <w:sz w:val="24"/>
          <w:szCs w:val="24"/>
        </w:rPr>
        <w:t>e</w:t>
      </w:r>
      <w:r>
        <w:rPr>
          <w:rFonts w:hint="eastAsia" w:ascii="仿宋_GB2312" w:hAnsi="仿宋_GB2312" w:eastAsia="仿宋_GB2312" w:cs="仿宋_GB2312"/>
          <w:kern w:val="0"/>
          <w:sz w:val="24"/>
          <w:szCs w:val="24"/>
        </w:rPr>
        <w:t>镇项目建设资金总额</w:t>
      </w:r>
      <w:r>
        <w:rPr>
          <w:rFonts w:ascii="仿宋_GB2312" w:hAnsi="仿宋_GB2312" w:eastAsia="仿宋_GB2312" w:cs="仿宋_GB2312"/>
          <w:kern w:val="0"/>
          <w:sz w:val="24"/>
          <w:szCs w:val="24"/>
        </w:rPr>
        <w:t>1200</w:t>
      </w:r>
      <w:r>
        <w:rPr>
          <w:rFonts w:hint="eastAsia" w:ascii="仿宋_GB2312" w:hAnsi="仿宋_GB2312" w:eastAsia="仿宋_GB2312" w:cs="仿宋_GB2312"/>
          <w:kern w:val="0"/>
          <w:sz w:val="24"/>
          <w:szCs w:val="24"/>
        </w:rPr>
        <w:t>万元，其中，中央财政专项资金</w:t>
      </w:r>
      <w:r>
        <w:rPr>
          <w:rFonts w:ascii="仿宋_GB2312" w:hAnsi="仿宋_GB2312" w:eastAsia="仿宋_GB2312" w:cs="仿宋_GB2312"/>
          <w:kern w:val="0"/>
          <w:sz w:val="24"/>
          <w:szCs w:val="24"/>
        </w:rPr>
        <w:t>1000</w:t>
      </w:r>
      <w:r>
        <w:rPr>
          <w:rFonts w:hint="eastAsia" w:ascii="仿宋_GB2312" w:hAnsi="仿宋_GB2312" w:eastAsia="仿宋_GB2312" w:cs="仿宋_GB2312"/>
          <w:kern w:val="0"/>
          <w:sz w:val="24"/>
          <w:szCs w:val="24"/>
        </w:rPr>
        <w:t>万元，县级财政配套资金</w:t>
      </w:r>
      <w:r>
        <w:rPr>
          <w:rFonts w:ascii="仿宋_GB2312" w:hAnsi="仿宋_GB2312" w:eastAsia="仿宋_GB2312" w:cs="仿宋_GB2312"/>
          <w:kern w:val="0"/>
          <w:sz w:val="24"/>
          <w:szCs w:val="24"/>
        </w:rPr>
        <w:t>200</w:t>
      </w:r>
      <w:r>
        <w:rPr>
          <w:rFonts w:hint="eastAsia" w:ascii="仿宋_GB2312" w:hAnsi="仿宋_GB2312" w:eastAsia="仿宋_GB2312" w:cs="仿宋_GB2312"/>
          <w:kern w:val="0"/>
          <w:sz w:val="24"/>
          <w:szCs w:val="24"/>
        </w:rPr>
        <w:t>万元，具体资金分配拟定如下：</w:t>
      </w:r>
    </w:p>
    <w:p>
      <w:pPr>
        <w:pageBreakBefore w:val="0"/>
        <w:widowControl w:val="0"/>
        <w:kinsoku/>
        <w:wordWrap/>
        <w:overflowPunct/>
        <w:topLinePunct w:val="0"/>
        <w:autoSpaceDE/>
        <w:autoSpaceDN/>
        <w:bidi w:val="0"/>
        <w:adjustRightInd/>
        <w:snapToGrid w:val="0"/>
        <w:spacing w:line="480" w:lineRule="exact"/>
        <w:outlineLvl w:val="9"/>
        <w:rPr>
          <w:rFonts w:hint="eastAsia"/>
        </w:rPr>
        <w:sectPr>
          <w:type w:val="continuous"/>
          <w:pgSz w:w="12240" w:h="16498"/>
          <w:pgMar w:top="1145" w:right="1389" w:bottom="1134" w:left="1389" w:header="1043" w:footer="992" w:gutter="0"/>
          <w:pgNumType w:fmt="decimal"/>
          <w:cols w:equalWidth="0" w:num="2">
            <w:col w:w="4518" w:space="425"/>
            <w:col w:w="4518"/>
          </w:cols>
          <w:rtlGutter w:val="0"/>
          <w:docGrid w:type="lines" w:linePitch="312" w:charSpace="0"/>
        </w:sectPr>
      </w:pPr>
    </w:p>
    <w:p>
      <w:pPr>
        <w:pageBreakBefore w:val="0"/>
        <w:widowControl w:val="0"/>
        <w:kinsoku/>
        <w:wordWrap/>
        <w:overflowPunct/>
        <w:topLinePunct w:val="0"/>
        <w:autoSpaceDE/>
        <w:autoSpaceDN/>
        <w:bidi w:val="0"/>
        <w:adjustRightInd/>
        <w:snapToGrid w:val="0"/>
        <w:spacing w:line="480" w:lineRule="exact"/>
        <w:outlineLvl w:val="9"/>
        <w:rPr>
          <w:rFonts w:hint="eastAsia"/>
        </w:rPr>
      </w:pPr>
      <w:r>
        <w:rPr>
          <w:rFonts w:hint="eastAsia"/>
        </w:rPr>
        <w:br w:type="page"/>
      </w:r>
    </w:p>
    <w:p>
      <w:pPr>
        <w:pStyle w:val="2"/>
        <w:keepNext/>
        <w:keepLines/>
        <w:pageBreakBefore w:val="0"/>
        <w:widowControl w:val="0"/>
        <w:kinsoku/>
        <w:wordWrap/>
        <w:overflowPunct/>
        <w:topLinePunct w:val="0"/>
        <w:autoSpaceDE/>
        <w:autoSpaceDN/>
        <w:bidi w:val="0"/>
        <w:adjustRightInd/>
        <w:snapToGrid w:val="0"/>
        <w:spacing w:before="95" w:beforeLines="30" w:after="95" w:afterLines="30" w:line="300" w:lineRule="exact"/>
        <w:textAlignment w:val="auto"/>
        <w:rPr>
          <w:rFonts w:hint="eastAsia"/>
        </w:rPr>
      </w:pPr>
    </w:p>
    <w:p>
      <w:pPr>
        <w:pStyle w:val="32"/>
        <w:bidi w:val="0"/>
        <w:outlineLvl w:val="9"/>
        <w:rPr>
          <w:rFonts w:hint="eastAsia"/>
        </w:rPr>
      </w:pPr>
      <w:bookmarkStart w:id="120" w:name="_Toc28346"/>
      <w:r>
        <w:rPr>
          <w:rFonts w:hint="eastAsia"/>
        </w:rPr>
        <w:t>原平市爱木图乡村e镇项目预算分解表</w:t>
      </w:r>
      <w:bookmarkEnd w:id="120"/>
    </w:p>
    <w:tbl>
      <w:tblPr>
        <w:tblStyle w:val="18"/>
        <w:tblW w:w="9665" w:type="dxa"/>
        <w:jc w:val="center"/>
        <w:tblLayout w:type="fixed"/>
        <w:tblCellMar>
          <w:top w:w="0" w:type="dxa"/>
          <w:left w:w="108" w:type="dxa"/>
          <w:bottom w:w="0" w:type="dxa"/>
          <w:right w:w="108" w:type="dxa"/>
        </w:tblCellMar>
      </w:tblPr>
      <w:tblGrid>
        <w:gridCol w:w="568"/>
        <w:gridCol w:w="912"/>
        <w:gridCol w:w="4186"/>
        <w:gridCol w:w="1459"/>
        <w:gridCol w:w="767"/>
        <w:gridCol w:w="992"/>
        <w:gridCol w:w="781"/>
      </w:tblGrid>
      <w:tr>
        <w:tblPrEx>
          <w:tblCellMar>
            <w:top w:w="0" w:type="dxa"/>
            <w:left w:w="108" w:type="dxa"/>
            <w:bottom w:w="0" w:type="dxa"/>
            <w:right w:w="108" w:type="dxa"/>
          </w:tblCellMar>
        </w:tblPrEx>
        <w:trPr>
          <w:trHeight w:val="278" w:hRule="atLeast"/>
          <w:jc w:val="center"/>
        </w:trPr>
        <w:tc>
          <w:tcPr>
            <w:tcW w:w="568" w:type="dxa"/>
            <w:vMerge w:val="restart"/>
            <w:tcBorders>
              <w:top w:val="single" w:color="auto" w:sz="8" w:space="0"/>
              <w:left w:val="single" w:color="auto" w:sz="8" w:space="0"/>
              <w:bottom w:val="single" w:color="000000" w:sz="8" w:space="0"/>
              <w:right w:val="nil"/>
            </w:tcBorders>
            <w:noWrap/>
            <w:vAlign w:val="center"/>
          </w:tcPr>
          <w:p>
            <w:pPr>
              <w:widowControl/>
              <w:spacing w:line="260" w:lineRule="exact"/>
              <w:ind w:left="0" w:leftChars="0" w:firstLine="0" w:firstLineChars="0"/>
              <w:jc w:val="center"/>
              <w:outlineLvl w:val="9"/>
              <w:rPr>
                <w:rFonts w:ascii="宋体" w:hAnsi="宋体" w:cs="宋体"/>
                <w:b/>
                <w:bCs/>
                <w:color w:val="000000"/>
                <w:kern w:val="0"/>
                <w:sz w:val="18"/>
                <w:szCs w:val="28"/>
              </w:rPr>
            </w:pPr>
            <w:r>
              <w:rPr>
                <w:rFonts w:hint="eastAsia" w:ascii="宋体" w:hAnsi="宋体" w:cs="宋体"/>
                <w:b/>
                <w:bCs/>
                <w:color w:val="000000"/>
                <w:kern w:val="0"/>
                <w:sz w:val="18"/>
                <w:szCs w:val="28"/>
              </w:rPr>
              <w:t>序号</w:t>
            </w:r>
          </w:p>
        </w:tc>
        <w:tc>
          <w:tcPr>
            <w:tcW w:w="912" w:type="dxa"/>
            <w:vMerge w:val="restart"/>
            <w:tcBorders>
              <w:top w:val="single" w:color="auto" w:sz="8" w:space="0"/>
              <w:left w:val="single" w:color="auto" w:sz="8" w:space="0"/>
              <w:bottom w:val="single" w:color="000000" w:sz="8" w:space="0"/>
              <w:right w:val="nil"/>
            </w:tcBorders>
            <w:noWrap/>
            <w:vAlign w:val="center"/>
          </w:tcPr>
          <w:p>
            <w:pPr>
              <w:widowControl/>
              <w:spacing w:line="260" w:lineRule="exact"/>
              <w:ind w:left="0" w:leftChars="0" w:firstLine="0" w:firstLineChars="0"/>
              <w:jc w:val="center"/>
              <w:outlineLvl w:val="9"/>
              <w:rPr>
                <w:rFonts w:hint="eastAsia" w:ascii="宋体" w:hAnsi="宋体" w:cs="宋体"/>
                <w:b/>
                <w:bCs/>
                <w:color w:val="000000"/>
                <w:kern w:val="0"/>
                <w:sz w:val="18"/>
                <w:szCs w:val="28"/>
              </w:rPr>
            </w:pPr>
            <w:r>
              <w:rPr>
                <w:rFonts w:hint="eastAsia" w:ascii="宋体" w:hAnsi="宋体" w:cs="宋体"/>
                <w:b/>
                <w:bCs/>
                <w:color w:val="000000"/>
                <w:kern w:val="0"/>
                <w:sz w:val="18"/>
                <w:szCs w:val="28"/>
              </w:rPr>
              <w:t>项目</w:t>
            </w:r>
          </w:p>
          <w:p>
            <w:pPr>
              <w:widowControl/>
              <w:spacing w:line="260" w:lineRule="exact"/>
              <w:ind w:left="0" w:leftChars="0" w:firstLine="0" w:firstLineChars="0"/>
              <w:jc w:val="center"/>
              <w:outlineLvl w:val="9"/>
              <w:rPr>
                <w:rFonts w:ascii="宋体" w:hAnsi="宋体" w:cs="宋体"/>
                <w:b/>
                <w:bCs/>
                <w:color w:val="000000"/>
                <w:kern w:val="0"/>
                <w:sz w:val="18"/>
                <w:szCs w:val="28"/>
              </w:rPr>
            </w:pPr>
            <w:r>
              <w:rPr>
                <w:rFonts w:hint="eastAsia" w:ascii="宋体" w:hAnsi="宋体" w:cs="宋体"/>
                <w:b/>
                <w:bCs/>
                <w:color w:val="000000"/>
                <w:kern w:val="0"/>
                <w:sz w:val="18"/>
                <w:szCs w:val="28"/>
              </w:rPr>
              <w:t>分类</w:t>
            </w:r>
          </w:p>
        </w:tc>
        <w:tc>
          <w:tcPr>
            <w:tcW w:w="4186" w:type="dxa"/>
            <w:vMerge w:val="restart"/>
            <w:tcBorders>
              <w:top w:val="single" w:color="auto" w:sz="8" w:space="0"/>
              <w:left w:val="single" w:color="auto" w:sz="8" w:space="0"/>
              <w:bottom w:val="single" w:color="000000" w:sz="8" w:space="0"/>
              <w:right w:val="single" w:color="auto" w:sz="8" w:space="0"/>
            </w:tcBorders>
            <w:noWrap/>
            <w:vAlign w:val="center"/>
          </w:tcPr>
          <w:p>
            <w:pPr>
              <w:widowControl/>
              <w:spacing w:line="260" w:lineRule="exact"/>
              <w:ind w:left="0" w:leftChars="0" w:firstLine="0" w:firstLineChars="0"/>
              <w:jc w:val="center"/>
              <w:outlineLvl w:val="9"/>
              <w:rPr>
                <w:rFonts w:ascii="宋体" w:hAnsi="宋体" w:cs="宋体"/>
                <w:b/>
                <w:bCs/>
                <w:color w:val="000000"/>
                <w:kern w:val="0"/>
                <w:sz w:val="18"/>
                <w:szCs w:val="28"/>
              </w:rPr>
            </w:pPr>
            <w:r>
              <w:rPr>
                <w:rFonts w:hint="eastAsia" w:ascii="宋体" w:hAnsi="宋体" w:cs="宋体"/>
                <w:b/>
                <w:bCs/>
                <w:color w:val="000000"/>
                <w:kern w:val="0"/>
                <w:sz w:val="18"/>
                <w:szCs w:val="28"/>
              </w:rPr>
              <w:t>建设内容</w:t>
            </w:r>
          </w:p>
        </w:tc>
        <w:tc>
          <w:tcPr>
            <w:tcW w:w="1459" w:type="dxa"/>
            <w:vMerge w:val="restart"/>
            <w:tcBorders>
              <w:top w:val="single" w:color="auto" w:sz="8" w:space="0"/>
              <w:left w:val="nil"/>
              <w:bottom w:val="single" w:color="000000" w:sz="8" w:space="0"/>
              <w:right w:val="single" w:color="auto" w:sz="8" w:space="0"/>
            </w:tcBorders>
            <w:noWrap/>
            <w:vAlign w:val="center"/>
          </w:tcPr>
          <w:p>
            <w:pPr>
              <w:widowControl/>
              <w:spacing w:line="260" w:lineRule="exact"/>
              <w:ind w:left="0" w:leftChars="0" w:firstLine="0" w:firstLineChars="0"/>
              <w:jc w:val="center"/>
              <w:outlineLvl w:val="9"/>
              <w:rPr>
                <w:rFonts w:ascii="宋体" w:hAnsi="宋体" w:cs="宋体"/>
                <w:b/>
                <w:bCs/>
                <w:color w:val="000000"/>
                <w:kern w:val="0"/>
                <w:sz w:val="18"/>
                <w:szCs w:val="28"/>
              </w:rPr>
            </w:pPr>
            <w:r>
              <w:rPr>
                <w:rFonts w:hint="eastAsia" w:ascii="宋体" w:hAnsi="宋体" w:cs="宋体"/>
                <w:b/>
                <w:bCs/>
                <w:color w:val="000000"/>
                <w:kern w:val="0"/>
                <w:sz w:val="18"/>
                <w:szCs w:val="28"/>
              </w:rPr>
              <w:t>项目实施期限</w:t>
            </w:r>
          </w:p>
        </w:tc>
        <w:tc>
          <w:tcPr>
            <w:tcW w:w="2540" w:type="dxa"/>
            <w:gridSpan w:val="3"/>
            <w:tcBorders>
              <w:top w:val="single" w:color="auto" w:sz="8" w:space="0"/>
              <w:left w:val="nil"/>
              <w:bottom w:val="single" w:color="auto" w:sz="4" w:space="0"/>
              <w:right w:val="single" w:color="000000" w:sz="8" w:space="0"/>
            </w:tcBorders>
            <w:noWrap/>
            <w:vAlign w:val="center"/>
          </w:tcPr>
          <w:p>
            <w:pPr>
              <w:widowControl/>
              <w:spacing w:line="260" w:lineRule="exact"/>
              <w:ind w:left="0" w:leftChars="0" w:firstLine="0" w:firstLineChars="0"/>
              <w:jc w:val="center"/>
              <w:outlineLvl w:val="9"/>
              <w:rPr>
                <w:rFonts w:ascii="宋体" w:hAnsi="宋体" w:cs="宋体"/>
                <w:b/>
                <w:bCs/>
                <w:color w:val="000000"/>
                <w:kern w:val="0"/>
                <w:sz w:val="18"/>
                <w:szCs w:val="28"/>
              </w:rPr>
            </w:pPr>
            <w:r>
              <w:rPr>
                <w:rFonts w:hint="eastAsia" w:ascii="宋体" w:hAnsi="宋体" w:cs="宋体"/>
                <w:b/>
                <w:bCs/>
                <w:color w:val="000000"/>
                <w:kern w:val="0"/>
                <w:sz w:val="18"/>
                <w:szCs w:val="28"/>
              </w:rPr>
              <w:t>资金使用计划（万元）</w:t>
            </w:r>
          </w:p>
        </w:tc>
      </w:tr>
      <w:tr>
        <w:tblPrEx>
          <w:tblCellMar>
            <w:top w:w="0" w:type="dxa"/>
            <w:left w:w="108" w:type="dxa"/>
            <w:bottom w:w="0" w:type="dxa"/>
            <w:right w:w="108" w:type="dxa"/>
          </w:tblCellMar>
        </w:tblPrEx>
        <w:trPr>
          <w:trHeight w:val="678" w:hRule="atLeast"/>
          <w:jc w:val="center"/>
        </w:trPr>
        <w:tc>
          <w:tcPr>
            <w:tcW w:w="568" w:type="dxa"/>
            <w:vMerge w:val="continue"/>
            <w:tcBorders>
              <w:top w:val="single" w:color="auto" w:sz="8" w:space="0"/>
              <w:left w:val="single" w:color="auto" w:sz="8" w:space="0"/>
              <w:bottom w:val="single" w:color="000000" w:sz="8" w:space="0"/>
              <w:right w:val="nil"/>
            </w:tcBorders>
            <w:noWrap w:val="0"/>
            <w:vAlign w:val="center"/>
          </w:tcPr>
          <w:p>
            <w:pPr>
              <w:widowControl/>
              <w:spacing w:line="260" w:lineRule="exact"/>
              <w:jc w:val="center"/>
              <w:outlineLvl w:val="9"/>
              <w:rPr>
                <w:rFonts w:ascii="宋体" w:hAnsi="宋体" w:cs="宋体"/>
                <w:b/>
                <w:bCs/>
                <w:color w:val="000000"/>
                <w:kern w:val="0"/>
                <w:sz w:val="18"/>
                <w:szCs w:val="28"/>
              </w:rPr>
            </w:pPr>
          </w:p>
        </w:tc>
        <w:tc>
          <w:tcPr>
            <w:tcW w:w="912" w:type="dxa"/>
            <w:vMerge w:val="continue"/>
            <w:tcBorders>
              <w:top w:val="single" w:color="auto" w:sz="8" w:space="0"/>
              <w:left w:val="single" w:color="auto" w:sz="8" w:space="0"/>
              <w:bottom w:val="single" w:color="000000" w:sz="8" w:space="0"/>
              <w:right w:val="nil"/>
            </w:tcBorders>
            <w:noWrap w:val="0"/>
            <w:vAlign w:val="center"/>
          </w:tcPr>
          <w:p>
            <w:pPr>
              <w:widowControl/>
              <w:spacing w:line="260" w:lineRule="exact"/>
              <w:jc w:val="center"/>
              <w:outlineLvl w:val="9"/>
              <w:rPr>
                <w:rFonts w:ascii="宋体" w:hAnsi="宋体" w:cs="宋体"/>
                <w:b/>
                <w:bCs/>
                <w:color w:val="000000"/>
                <w:kern w:val="0"/>
                <w:sz w:val="18"/>
                <w:szCs w:val="28"/>
              </w:rPr>
            </w:pPr>
          </w:p>
        </w:tc>
        <w:tc>
          <w:tcPr>
            <w:tcW w:w="4186" w:type="dxa"/>
            <w:vMerge w:val="continue"/>
            <w:tcBorders>
              <w:top w:val="single" w:color="auto" w:sz="8" w:space="0"/>
              <w:left w:val="single" w:color="auto" w:sz="8" w:space="0"/>
              <w:bottom w:val="single" w:color="000000" w:sz="8" w:space="0"/>
              <w:right w:val="single" w:color="auto" w:sz="8" w:space="0"/>
            </w:tcBorders>
            <w:noWrap w:val="0"/>
            <w:vAlign w:val="center"/>
          </w:tcPr>
          <w:p>
            <w:pPr>
              <w:widowControl/>
              <w:spacing w:line="260" w:lineRule="exact"/>
              <w:jc w:val="center"/>
              <w:outlineLvl w:val="9"/>
              <w:rPr>
                <w:rFonts w:ascii="宋体" w:hAnsi="宋体" w:cs="宋体"/>
                <w:b/>
                <w:bCs/>
                <w:color w:val="000000"/>
                <w:kern w:val="0"/>
                <w:sz w:val="18"/>
                <w:szCs w:val="28"/>
              </w:rPr>
            </w:pPr>
          </w:p>
        </w:tc>
        <w:tc>
          <w:tcPr>
            <w:tcW w:w="1459" w:type="dxa"/>
            <w:vMerge w:val="continue"/>
            <w:tcBorders>
              <w:top w:val="single" w:color="auto" w:sz="8" w:space="0"/>
              <w:left w:val="nil"/>
              <w:bottom w:val="single" w:color="000000" w:sz="8" w:space="0"/>
              <w:right w:val="single" w:color="auto" w:sz="8" w:space="0"/>
            </w:tcBorders>
            <w:noWrap w:val="0"/>
            <w:vAlign w:val="center"/>
          </w:tcPr>
          <w:p>
            <w:pPr>
              <w:widowControl/>
              <w:spacing w:line="260" w:lineRule="exact"/>
              <w:jc w:val="center"/>
              <w:outlineLvl w:val="9"/>
              <w:rPr>
                <w:rFonts w:ascii="宋体" w:hAnsi="宋体" w:cs="宋体"/>
                <w:b/>
                <w:bCs/>
                <w:color w:val="000000"/>
                <w:kern w:val="0"/>
                <w:sz w:val="18"/>
                <w:szCs w:val="28"/>
              </w:rPr>
            </w:pPr>
          </w:p>
        </w:tc>
        <w:tc>
          <w:tcPr>
            <w:tcW w:w="767" w:type="dxa"/>
            <w:tcBorders>
              <w:top w:val="nil"/>
              <w:left w:val="nil"/>
              <w:bottom w:val="single" w:color="auto" w:sz="8" w:space="0"/>
              <w:right w:val="single" w:color="auto" w:sz="4" w:space="0"/>
            </w:tcBorders>
            <w:noWrap w:val="0"/>
            <w:vAlign w:val="center"/>
          </w:tcPr>
          <w:p>
            <w:pPr>
              <w:widowControl/>
              <w:spacing w:line="260" w:lineRule="exact"/>
              <w:ind w:left="0" w:leftChars="0" w:firstLine="0" w:firstLineChars="0"/>
              <w:jc w:val="center"/>
              <w:outlineLvl w:val="9"/>
              <w:rPr>
                <w:rFonts w:hint="eastAsia" w:ascii="宋体" w:hAnsi="宋体" w:cs="宋体"/>
                <w:b/>
                <w:bCs/>
                <w:color w:val="000000"/>
                <w:kern w:val="0"/>
                <w:sz w:val="18"/>
                <w:szCs w:val="28"/>
              </w:rPr>
            </w:pPr>
            <w:r>
              <w:rPr>
                <w:rFonts w:hint="eastAsia" w:ascii="宋体" w:hAnsi="宋体" w:cs="宋体"/>
                <w:b/>
                <w:bCs/>
                <w:color w:val="000000"/>
                <w:kern w:val="0"/>
                <w:sz w:val="18"/>
                <w:szCs w:val="28"/>
              </w:rPr>
              <w:t>专项</w:t>
            </w:r>
          </w:p>
          <w:p>
            <w:pPr>
              <w:widowControl/>
              <w:spacing w:line="260" w:lineRule="exact"/>
              <w:ind w:left="0" w:leftChars="0" w:firstLine="0" w:firstLineChars="0"/>
              <w:jc w:val="center"/>
              <w:outlineLvl w:val="9"/>
              <w:rPr>
                <w:rFonts w:ascii="宋体" w:hAnsi="宋体" w:cs="宋体"/>
                <w:b/>
                <w:bCs/>
                <w:color w:val="000000"/>
                <w:kern w:val="0"/>
                <w:sz w:val="18"/>
                <w:szCs w:val="28"/>
              </w:rPr>
            </w:pPr>
            <w:r>
              <w:rPr>
                <w:rFonts w:hint="eastAsia" w:ascii="宋体" w:hAnsi="宋体" w:cs="宋体"/>
                <w:b/>
                <w:bCs/>
                <w:color w:val="000000"/>
                <w:kern w:val="0"/>
                <w:sz w:val="18"/>
                <w:szCs w:val="28"/>
              </w:rPr>
              <w:t>资金</w:t>
            </w:r>
          </w:p>
        </w:tc>
        <w:tc>
          <w:tcPr>
            <w:tcW w:w="992" w:type="dxa"/>
            <w:tcBorders>
              <w:top w:val="nil"/>
              <w:left w:val="nil"/>
              <w:bottom w:val="single" w:color="auto" w:sz="8" w:space="0"/>
              <w:right w:val="single" w:color="auto" w:sz="4" w:space="0"/>
            </w:tcBorders>
            <w:noWrap w:val="0"/>
            <w:vAlign w:val="center"/>
          </w:tcPr>
          <w:p>
            <w:pPr>
              <w:widowControl/>
              <w:spacing w:line="260" w:lineRule="exact"/>
              <w:ind w:left="0" w:leftChars="0" w:firstLine="0" w:firstLineChars="0"/>
              <w:jc w:val="center"/>
              <w:outlineLvl w:val="9"/>
              <w:rPr>
                <w:rFonts w:ascii="宋体" w:hAnsi="宋体" w:cs="宋体"/>
                <w:b/>
                <w:bCs/>
                <w:color w:val="000000"/>
                <w:kern w:val="0"/>
                <w:sz w:val="18"/>
                <w:szCs w:val="28"/>
              </w:rPr>
            </w:pPr>
            <w:r>
              <w:rPr>
                <w:rFonts w:hint="eastAsia" w:ascii="宋体" w:hAnsi="宋体" w:cs="宋体"/>
                <w:b/>
                <w:bCs/>
                <w:color w:val="000000"/>
                <w:kern w:val="0"/>
                <w:sz w:val="18"/>
                <w:szCs w:val="28"/>
              </w:rPr>
              <w:t>地方自筹资金</w:t>
            </w:r>
          </w:p>
        </w:tc>
        <w:tc>
          <w:tcPr>
            <w:tcW w:w="781" w:type="dxa"/>
            <w:tcBorders>
              <w:top w:val="nil"/>
              <w:left w:val="nil"/>
              <w:bottom w:val="single" w:color="auto" w:sz="8" w:space="0"/>
              <w:right w:val="single" w:color="auto" w:sz="8" w:space="0"/>
            </w:tcBorders>
            <w:noWrap w:val="0"/>
            <w:vAlign w:val="center"/>
          </w:tcPr>
          <w:p>
            <w:pPr>
              <w:widowControl/>
              <w:spacing w:line="260" w:lineRule="exact"/>
              <w:ind w:left="0" w:leftChars="0" w:firstLine="0" w:firstLineChars="0"/>
              <w:jc w:val="center"/>
              <w:outlineLvl w:val="9"/>
              <w:rPr>
                <w:rFonts w:ascii="宋体" w:hAnsi="宋体" w:cs="宋体"/>
                <w:b/>
                <w:bCs/>
                <w:color w:val="000000"/>
                <w:kern w:val="0"/>
                <w:sz w:val="18"/>
                <w:szCs w:val="28"/>
              </w:rPr>
            </w:pPr>
            <w:r>
              <w:rPr>
                <w:rFonts w:hint="eastAsia" w:ascii="宋体" w:hAnsi="宋体" w:cs="宋体"/>
                <w:b/>
                <w:bCs/>
                <w:color w:val="000000"/>
                <w:kern w:val="0"/>
                <w:sz w:val="18"/>
                <w:szCs w:val="28"/>
              </w:rPr>
              <w:t>总金额</w:t>
            </w:r>
          </w:p>
        </w:tc>
      </w:tr>
      <w:tr>
        <w:tblPrEx>
          <w:tblCellMar>
            <w:top w:w="0" w:type="dxa"/>
            <w:left w:w="108" w:type="dxa"/>
            <w:bottom w:w="0" w:type="dxa"/>
            <w:right w:w="108" w:type="dxa"/>
          </w:tblCellMar>
        </w:tblPrEx>
        <w:trPr>
          <w:trHeight w:val="496" w:hRule="atLeast"/>
          <w:jc w:val="center"/>
        </w:trPr>
        <w:tc>
          <w:tcPr>
            <w:tcW w:w="568" w:type="dxa"/>
            <w:vMerge w:val="restart"/>
            <w:tcBorders>
              <w:top w:val="nil"/>
              <w:left w:val="single" w:color="auto" w:sz="8" w:space="0"/>
              <w:bottom w:val="single" w:color="auto" w:sz="4" w:space="0"/>
              <w:right w:val="nil"/>
            </w:tcBorders>
            <w:noWrap/>
            <w:vAlign w:val="center"/>
          </w:tcPr>
          <w:p>
            <w:pPr>
              <w:widowControl/>
              <w:spacing w:line="200" w:lineRule="exact"/>
              <w:ind w:left="0" w:leftChars="0" w:firstLine="0" w:firstLineChars="0"/>
              <w:jc w:val="center"/>
              <w:outlineLvl w:val="9"/>
              <w:rPr>
                <w:rFonts w:ascii="宋体" w:hAnsi="宋体" w:cs="宋体"/>
                <w:color w:val="000000"/>
                <w:kern w:val="0"/>
                <w:sz w:val="16"/>
                <w:szCs w:val="28"/>
              </w:rPr>
            </w:pPr>
            <w:r>
              <w:rPr>
                <w:rFonts w:ascii="宋体" w:hAnsi="宋体" w:cs="宋体"/>
                <w:color w:val="000000"/>
                <w:kern w:val="0"/>
                <w:sz w:val="16"/>
                <w:szCs w:val="28"/>
              </w:rPr>
              <w:t>1</w:t>
            </w:r>
          </w:p>
        </w:tc>
        <w:tc>
          <w:tcPr>
            <w:tcW w:w="912" w:type="dxa"/>
            <w:vMerge w:val="restart"/>
            <w:tcBorders>
              <w:top w:val="single" w:color="auto" w:sz="8" w:space="0"/>
              <w:left w:val="single" w:color="auto" w:sz="8" w:space="0"/>
              <w:bottom w:val="single" w:color="auto" w:sz="4" w:space="0"/>
              <w:right w:val="single" w:color="auto" w:sz="8" w:space="0"/>
            </w:tcBorders>
            <w:noWrap w:val="0"/>
            <w:vAlign w:val="center"/>
          </w:tcPr>
          <w:p>
            <w:pPr>
              <w:widowControl/>
              <w:spacing w:line="200" w:lineRule="exact"/>
              <w:ind w:left="0" w:leftChars="0" w:firstLine="0" w:firstLineChars="0"/>
              <w:jc w:val="center"/>
              <w:outlineLvl w:val="9"/>
              <w:rPr>
                <w:rFonts w:ascii="宋体" w:hAnsi="宋体" w:cs="宋体"/>
                <w:color w:val="000000"/>
                <w:kern w:val="0"/>
                <w:sz w:val="16"/>
                <w:szCs w:val="28"/>
              </w:rPr>
            </w:pPr>
            <w:r>
              <w:rPr>
                <w:rFonts w:hint="eastAsia" w:ascii="宋体" w:hAnsi="宋体" w:cs="宋体"/>
                <w:color w:val="000000"/>
                <w:kern w:val="0"/>
                <w:sz w:val="16"/>
                <w:szCs w:val="28"/>
              </w:rPr>
              <w:t>乡村</w:t>
            </w:r>
            <w:r>
              <w:rPr>
                <w:rFonts w:ascii="宋体" w:hAnsi="宋体" w:cs="宋体"/>
                <w:color w:val="000000"/>
                <w:kern w:val="0"/>
                <w:sz w:val="16"/>
                <w:szCs w:val="28"/>
              </w:rPr>
              <w:t>e</w:t>
            </w:r>
            <w:r>
              <w:rPr>
                <w:rFonts w:hint="eastAsia" w:ascii="宋体" w:hAnsi="宋体" w:cs="宋体"/>
                <w:color w:val="000000"/>
                <w:kern w:val="0"/>
                <w:sz w:val="16"/>
                <w:szCs w:val="28"/>
              </w:rPr>
              <w:t>镇</w:t>
            </w:r>
            <w:r>
              <w:rPr>
                <w:rFonts w:ascii="宋体" w:hAnsi="宋体" w:cs="宋体"/>
                <w:color w:val="000000"/>
                <w:kern w:val="0"/>
                <w:sz w:val="16"/>
                <w:szCs w:val="28"/>
              </w:rPr>
              <w:br w:type="textWrapping"/>
            </w:r>
            <w:r>
              <w:rPr>
                <w:rFonts w:hint="eastAsia" w:ascii="宋体" w:hAnsi="宋体" w:cs="宋体"/>
                <w:color w:val="000000"/>
                <w:kern w:val="0"/>
                <w:sz w:val="16"/>
                <w:szCs w:val="28"/>
              </w:rPr>
              <w:t>电商公共服务中心</w:t>
            </w:r>
          </w:p>
        </w:tc>
        <w:tc>
          <w:tcPr>
            <w:tcW w:w="4186" w:type="dxa"/>
            <w:tcBorders>
              <w:top w:val="nil"/>
              <w:left w:val="nil"/>
              <w:bottom w:val="single" w:color="auto" w:sz="4" w:space="0"/>
              <w:right w:val="nil"/>
            </w:tcBorders>
            <w:noWrap w:val="0"/>
            <w:vAlign w:val="center"/>
          </w:tcPr>
          <w:p>
            <w:pPr>
              <w:widowControl/>
              <w:spacing w:line="200" w:lineRule="exact"/>
              <w:jc w:val="left"/>
              <w:outlineLvl w:val="9"/>
              <w:rPr>
                <w:rFonts w:ascii="宋体" w:hAnsi="宋体" w:cs="宋体"/>
                <w:color w:val="000000"/>
                <w:kern w:val="0"/>
                <w:sz w:val="16"/>
                <w:szCs w:val="28"/>
              </w:rPr>
            </w:pPr>
            <w:r>
              <w:rPr>
                <w:rFonts w:hint="eastAsia" w:ascii="宋体" w:hAnsi="宋体" w:cs="宋体"/>
                <w:color w:val="000000"/>
                <w:kern w:val="0"/>
                <w:sz w:val="16"/>
                <w:szCs w:val="28"/>
              </w:rPr>
              <w:t>完善路网、动力、通信等各项工程建设以及供水、供电、供气、道路、通讯、排污等基础设施</w:t>
            </w:r>
          </w:p>
        </w:tc>
        <w:tc>
          <w:tcPr>
            <w:tcW w:w="1459" w:type="dxa"/>
            <w:tcBorders>
              <w:top w:val="single" w:color="auto" w:sz="8" w:space="0"/>
              <w:left w:val="single" w:color="auto" w:sz="8" w:space="0"/>
              <w:bottom w:val="single" w:color="auto" w:sz="4" w:space="0"/>
              <w:right w:val="single" w:color="auto" w:sz="8" w:space="0"/>
            </w:tcBorders>
            <w:noWrap/>
            <w:vAlign w:val="center"/>
          </w:tcPr>
          <w:p>
            <w:pPr>
              <w:widowControl/>
              <w:spacing w:line="200" w:lineRule="exact"/>
              <w:ind w:left="0" w:leftChars="0" w:firstLine="0" w:firstLineChars="0"/>
              <w:jc w:val="both"/>
              <w:outlineLvl w:val="9"/>
              <w:rPr>
                <w:rFonts w:ascii="宋体" w:hAnsi="宋体" w:cs="宋体"/>
                <w:color w:val="000000"/>
                <w:kern w:val="0"/>
                <w:sz w:val="16"/>
                <w:szCs w:val="28"/>
              </w:rPr>
            </w:pPr>
            <w:r>
              <w:rPr>
                <w:rFonts w:ascii="宋体" w:hAnsi="宋体" w:cs="宋体"/>
                <w:color w:val="000000"/>
                <w:kern w:val="0"/>
                <w:sz w:val="16"/>
                <w:szCs w:val="28"/>
              </w:rPr>
              <w:t>2022</w:t>
            </w:r>
            <w:r>
              <w:rPr>
                <w:rFonts w:hint="eastAsia" w:ascii="宋体" w:hAnsi="宋体" w:cs="宋体"/>
                <w:color w:val="000000"/>
                <w:kern w:val="0"/>
                <w:sz w:val="16"/>
                <w:szCs w:val="28"/>
              </w:rPr>
              <w:t>年</w:t>
            </w:r>
            <w:r>
              <w:rPr>
                <w:rFonts w:ascii="宋体" w:hAnsi="宋体" w:cs="宋体"/>
                <w:color w:val="000000"/>
                <w:kern w:val="0"/>
                <w:sz w:val="16"/>
                <w:szCs w:val="28"/>
              </w:rPr>
              <w:t>12</w:t>
            </w:r>
            <w:r>
              <w:rPr>
                <w:rFonts w:hint="eastAsia" w:ascii="宋体" w:hAnsi="宋体" w:cs="宋体"/>
                <w:color w:val="000000"/>
                <w:kern w:val="0"/>
                <w:sz w:val="16"/>
                <w:szCs w:val="28"/>
              </w:rPr>
              <w:t>月底前</w:t>
            </w:r>
          </w:p>
        </w:tc>
        <w:tc>
          <w:tcPr>
            <w:tcW w:w="767" w:type="dxa"/>
            <w:vMerge w:val="restart"/>
            <w:tcBorders>
              <w:top w:val="nil"/>
              <w:left w:val="single" w:color="auto" w:sz="4" w:space="0"/>
              <w:bottom w:val="single" w:color="auto" w:sz="4" w:space="0"/>
              <w:right w:val="single" w:color="auto" w:sz="4" w:space="0"/>
            </w:tcBorders>
            <w:noWrap/>
            <w:vAlign w:val="center"/>
          </w:tcPr>
          <w:p>
            <w:pPr>
              <w:widowControl/>
              <w:spacing w:line="200" w:lineRule="exact"/>
              <w:ind w:left="0" w:leftChars="0" w:firstLine="0" w:firstLineChars="0"/>
              <w:jc w:val="center"/>
              <w:outlineLvl w:val="9"/>
              <w:rPr>
                <w:rFonts w:ascii="宋体" w:hAnsi="宋体" w:cs="宋体"/>
                <w:color w:val="000000"/>
                <w:kern w:val="0"/>
                <w:sz w:val="16"/>
                <w:szCs w:val="28"/>
              </w:rPr>
            </w:pPr>
            <w:r>
              <w:rPr>
                <w:rFonts w:ascii="宋体" w:hAnsi="宋体" w:cs="宋体"/>
                <w:color w:val="000000"/>
                <w:kern w:val="0"/>
                <w:sz w:val="16"/>
                <w:szCs w:val="28"/>
              </w:rPr>
              <w:t>280</w:t>
            </w:r>
          </w:p>
        </w:tc>
        <w:tc>
          <w:tcPr>
            <w:tcW w:w="992" w:type="dxa"/>
            <w:vMerge w:val="restart"/>
            <w:tcBorders>
              <w:top w:val="nil"/>
              <w:left w:val="nil"/>
              <w:bottom w:val="single" w:color="auto" w:sz="4" w:space="0"/>
              <w:right w:val="single" w:color="auto" w:sz="4" w:space="0"/>
            </w:tcBorders>
            <w:noWrap/>
            <w:vAlign w:val="center"/>
          </w:tcPr>
          <w:p>
            <w:pPr>
              <w:widowControl/>
              <w:spacing w:line="200" w:lineRule="exact"/>
              <w:ind w:left="0" w:leftChars="0" w:firstLine="0" w:firstLineChars="0"/>
              <w:jc w:val="center"/>
              <w:outlineLvl w:val="9"/>
              <w:rPr>
                <w:rFonts w:ascii="宋体" w:hAnsi="宋体" w:cs="宋体"/>
                <w:color w:val="000000"/>
                <w:kern w:val="0"/>
                <w:sz w:val="16"/>
                <w:szCs w:val="28"/>
              </w:rPr>
            </w:pPr>
            <w:r>
              <w:rPr>
                <w:rFonts w:ascii="宋体" w:hAnsi="宋体" w:cs="宋体"/>
                <w:color w:val="000000"/>
                <w:kern w:val="0"/>
                <w:sz w:val="16"/>
                <w:szCs w:val="28"/>
              </w:rPr>
              <w:t>170</w:t>
            </w:r>
          </w:p>
        </w:tc>
        <w:tc>
          <w:tcPr>
            <w:tcW w:w="781" w:type="dxa"/>
            <w:vMerge w:val="restart"/>
            <w:tcBorders>
              <w:top w:val="nil"/>
              <w:left w:val="single" w:color="auto" w:sz="4" w:space="0"/>
              <w:bottom w:val="single" w:color="auto" w:sz="4" w:space="0"/>
              <w:right w:val="single" w:color="auto" w:sz="8" w:space="0"/>
            </w:tcBorders>
            <w:noWrap/>
            <w:vAlign w:val="center"/>
          </w:tcPr>
          <w:p>
            <w:pPr>
              <w:widowControl/>
              <w:spacing w:line="200" w:lineRule="exact"/>
              <w:ind w:left="0" w:leftChars="0" w:firstLine="0" w:firstLineChars="0"/>
              <w:jc w:val="center"/>
              <w:outlineLvl w:val="9"/>
              <w:rPr>
                <w:rFonts w:ascii="宋体" w:hAnsi="宋体" w:cs="宋体"/>
                <w:color w:val="000000"/>
                <w:kern w:val="0"/>
                <w:sz w:val="16"/>
                <w:szCs w:val="28"/>
              </w:rPr>
            </w:pPr>
            <w:r>
              <w:rPr>
                <w:rFonts w:ascii="宋体" w:hAnsi="宋体" w:cs="宋体"/>
                <w:color w:val="000000"/>
                <w:kern w:val="0"/>
                <w:sz w:val="16"/>
                <w:szCs w:val="28"/>
              </w:rPr>
              <w:t>450</w:t>
            </w:r>
          </w:p>
        </w:tc>
      </w:tr>
      <w:tr>
        <w:tblPrEx>
          <w:tblCellMar>
            <w:top w:w="0" w:type="dxa"/>
            <w:left w:w="108" w:type="dxa"/>
            <w:bottom w:w="0" w:type="dxa"/>
            <w:right w:w="108" w:type="dxa"/>
          </w:tblCellMar>
        </w:tblPrEx>
        <w:trPr>
          <w:trHeight w:val="300" w:hRule="atLeast"/>
          <w:jc w:val="center"/>
        </w:trPr>
        <w:tc>
          <w:tcPr>
            <w:tcW w:w="568" w:type="dxa"/>
            <w:vMerge w:val="continue"/>
            <w:tcBorders>
              <w:top w:val="nil"/>
              <w:left w:val="single" w:color="auto" w:sz="8" w:space="0"/>
              <w:bottom w:val="single" w:color="auto" w:sz="4" w:space="0"/>
              <w:right w:val="nil"/>
            </w:tcBorders>
            <w:noWrap w:val="0"/>
            <w:vAlign w:val="center"/>
          </w:tcPr>
          <w:p>
            <w:pPr>
              <w:widowControl/>
              <w:spacing w:line="200" w:lineRule="exact"/>
              <w:jc w:val="center"/>
              <w:outlineLvl w:val="9"/>
              <w:rPr>
                <w:rFonts w:ascii="宋体" w:hAnsi="宋体" w:cs="宋体"/>
                <w:color w:val="000000"/>
                <w:kern w:val="0"/>
                <w:sz w:val="16"/>
                <w:szCs w:val="28"/>
              </w:rPr>
            </w:pPr>
          </w:p>
        </w:tc>
        <w:tc>
          <w:tcPr>
            <w:tcW w:w="912" w:type="dxa"/>
            <w:vMerge w:val="continue"/>
            <w:tcBorders>
              <w:top w:val="single" w:color="auto" w:sz="8" w:space="0"/>
              <w:left w:val="single" w:color="auto" w:sz="8" w:space="0"/>
              <w:bottom w:val="single" w:color="auto" w:sz="4" w:space="0"/>
              <w:right w:val="single" w:color="auto" w:sz="8" w:space="0"/>
            </w:tcBorders>
            <w:noWrap w:val="0"/>
            <w:vAlign w:val="center"/>
          </w:tcPr>
          <w:p>
            <w:pPr>
              <w:widowControl/>
              <w:spacing w:line="200" w:lineRule="exact"/>
              <w:jc w:val="center"/>
              <w:outlineLvl w:val="9"/>
              <w:rPr>
                <w:rFonts w:ascii="宋体" w:hAnsi="宋体" w:cs="宋体"/>
                <w:color w:val="000000"/>
                <w:kern w:val="0"/>
                <w:sz w:val="16"/>
                <w:szCs w:val="28"/>
              </w:rPr>
            </w:pPr>
          </w:p>
        </w:tc>
        <w:tc>
          <w:tcPr>
            <w:tcW w:w="4186" w:type="dxa"/>
            <w:tcBorders>
              <w:top w:val="nil"/>
              <w:left w:val="nil"/>
              <w:bottom w:val="single" w:color="auto" w:sz="4" w:space="0"/>
              <w:right w:val="nil"/>
            </w:tcBorders>
            <w:noWrap w:val="0"/>
            <w:vAlign w:val="center"/>
          </w:tcPr>
          <w:p>
            <w:pPr>
              <w:widowControl/>
              <w:spacing w:line="200" w:lineRule="exact"/>
              <w:jc w:val="left"/>
              <w:outlineLvl w:val="9"/>
              <w:rPr>
                <w:rFonts w:ascii="宋体" w:hAnsi="宋体" w:cs="宋体"/>
                <w:color w:val="000000"/>
                <w:kern w:val="0"/>
                <w:sz w:val="16"/>
                <w:szCs w:val="28"/>
              </w:rPr>
            </w:pPr>
            <w:r>
              <w:rPr>
                <w:rFonts w:hint="eastAsia" w:ascii="宋体" w:hAnsi="宋体" w:cs="宋体"/>
                <w:color w:val="000000"/>
                <w:kern w:val="0"/>
                <w:sz w:val="16"/>
                <w:szCs w:val="28"/>
              </w:rPr>
              <w:t>建设</w:t>
            </w:r>
            <w:r>
              <w:rPr>
                <w:rFonts w:ascii="宋体" w:hAnsi="宋体" w:cs="宋体"/>
                <w:color w:val="000000"/>
                <w:kern w:val="0"/>
                <w:sz w:val="16"/>
                <w:szCs w:val="28"/>
              </w:rPr>
              <w:t>1</w:t>
            </w:r>
            <w:r>
              <w:rPr>
                <w:rFonts w:hint="eastAsia" w:ascii="宋体" w:hAnsi="宋体" w:cs="宋体"/>
                <w:color w:val="000000"/>
                <w:kern w:val="0"/>
                <w:sz w:val="16"/>
                <w:szCs w:val="28"/>
              </w:rPr>
              <w:t>个乡村</w:t>
            </w:r>
            <w:r>
              <w:rPr>
                <w:rFonts w:ascii="宋体" w:hAnsi="宋体" w:cs="宋体"/>
                <w:color w:val="000000"/>
                <w:kern w:val="0"/>
                <w:sz w:val="16"/>
                <w:szCs w:val="28"/>
              </w:rPr>
              <w:t>e</w:t>
            </w:r>
            <w:r>
              <w:rPr>
                <w:rFonts w:hint="eastAsia" w:ascii="宋体" w:hAnsi="宋体" w:cs="宋体"/>
                <w:color w:val="000000"/>
                <w:kern w:val="0"/>
                <w:sz w:val="16"/>
                <w:szCs w:val="28"/>
              </w:rPr>
              <w:t>镇公共服务中心</w:t>
            </w:r>
          </w:p>
        </w:tc>
        <w:tc>
          <w:tcPr>
            <w:tcW w:w="1459" w:type="dxa"/>
            <w:tcBorders>
              <w:top w:val="nil"/>
              <w:left w:val="single" w:color="auto" w:sz="8" w:space="0"/>
              <w:bottom w:val="single" w:color="auto" w:sz="4" w:space="0"/>
              <w:right w:val="single" w:color="auto" w:sz="8" w:space="0"/>
            </w:tcBorders>
            <w:noWrap/>
            <w:vAlign w:val="center"/>
          </w:tcPr>
          <w:p>
            <w:pPr>
              <w:widowControl/>
              <w:spacing w:line="200" w:lineRule="exact"/>
              <w:ind w:left="0" w:leftChars="0" w:firstLine="0" w:firstLineChars="0"/>
              <w:jc w:val="both"/>
              <w:outlineLvl w:val="9"/>
              <w:rPr>
                <w:rFonts w:ascii="宋体" w:hAnsi="宋体" w:cs="宋体"/>
                <w:color w:val="000000"/>
                <w:kern w:val="0"/>
                <w:sz w:val="16"/>
                <w:szCs w:val="28"/>
              </w:rPr>
            </w:pPr>
            <w:r>
              <w:rPr>
                <w:rFonts w:ascii="宋体" w:hAnsi="宋体" w:cs="宋体"/>
                <w:color w:val="000000"/>
                <w:kern w:val="0"/>
                <w:sz w:val="16"/>
                <w:szCs w:val="28"/>
              </w:rPr>
              <w:t>2022</w:t>
            </w:r>
            <w:r>
              <w:rPr>
                <w:rFonts w:hint="eastAsia" w:ascii="宋体" w:hAnsi="宋体" w:cs="宋体"/>
                <w:color w:val="000000"/>
                <w:kern w:val="0"/>
                <w:sz w:val="16"/>
                <w:szCs w:val="28"/>
              </w:rPr>
              <w:t>年</w:t>
            </w:r>
            <w:r>
              <w:rPr>
                <w:rFonts w:ascii="宋体" w:hAnsi="宋体" w:cs="宋体"/>
                <w:color w:val="000000"/>
                <w:kern w:val="0"/>
                <w:sz w:val="16"/>
                <w:szCs w:val="28"/>
              </w:rPr>
              <w:t>12</w:t>
            </w:r>
            <w:r>
              <w:rPr>
                <w:rFonts w:hint="eastAsia" w:ascii="宋体" w:hAnsi="宋体" w:cs="宋体"/>
                <w:color w:val="000000"/>
                <w:kern w:val="0"/>
                <w:sz w:val="16"/>
                <w:szCs w:val="28"/>
              </w:rPr>
              <w:t>月底前</w:t>
            </w:r>
          </w:p>
        </w:tc>
        <w:tc>
          <w:tcPr>
            <w:tcW w:w="767" w:type="dxa"/>
            <w:vMerge w:val="continue"/>
            <w:tcBorders>
              <w:top w:val="nil"/>
              <w:left w:val="single" w:color="auto" w:sz="4" w:space="0"/>
              <w:bottom w:val="single" w:color="auto" w:sz="4" w:space="0"/>
              <w:right w:val="single" w:color="auto" w:sz="4" w:space="0"/>
            </w:tcBorders>
            <w:noWrap w:val="0"/>
            <w:vAlign w:val="center"/>
          </w:tcPr>
          <w:p>
            <w:pPr>
              <w:widowControl/>
              <w:spacing w:line="200" w:lineRule="exact"/>
              <w:jc w:val="center"/>
              <w:outlineLvl w:val="9"/>
              <w:rPr>
                <w:rFonts w:ascii="宋体" w:hAnsi="宋体" w:cs="宋体"/>
                <w:color w:val="000000"/>
                <w:kern w:val="0"/>
                <w:sz w:val="16"/>
                <w:szCs w:val="28"/>
              </w:rPr>
            </w:pPr>
          </w:p>
        </w:tc>
        <w:tc>
          <w:tcPr>
            <w:tcW w:w="992" w:type="dxa"/>
            <w:vMerge w:val="continue"/>
            <w:tcBorders>
              <w:top w:val="nil"/>
              <w:left w:val="nil"/>
              <w:bottom w:val="single" w:color="auto" w:sz="4" w:space="0"/>
              <w:right w:val="single" w:color="auto" w:sz="4" w:space="0"/>
            </w:tcBorders>
            <w:noWrap w:val="0"/>
            <w:vAlign w:val="center"/>
          </w:tcPr>
          <w:p>
            <w:pPr>
              <w:widowControl/>
              <w:spacing w:line="200" w:lineRule="exact"/>
              <w:jc w:val="center"/>
              <w:outlineLvl w:val="9"/>
              <w:rPr>
                <w:rFonts w:ascii="宋体" w:hAnsi="宋体" w:cs="宋体"/>
                <w:color w:val="000000"/>
                <w:kern w:val="0"/>
                <w:sz w:val="16"/>
                <w:szCs w:val="28"/>
              </w:rPr>
            </w:pPr>
          </w:p>
        </w:tc>
        <w:tc>
          <w:tcPr>
            <w:tcW w:w="781" w:type="dxa"/>
            <w:vMerge w:val="continue"/>
            <w:tcBorders>
              <w:top w:val="nil"/>
              <w:left w:val="single" w:color="auto" w:sz="4" w:space="0"/>
              <w:bottom w:val="single" w:color="auto" w:sz="4" w:space="0"/>
              <w:right w:val="single" w:color="auto" w:sz="8" w:space="0"/>
            </w:tcBorders>
            <w:noWrap w:val="0"/>
            <w:vAlign w:val="center"/>
          </w:tcPr>
          <w:p>
            <w:pPr>
              <w:widowControl/>
              <w:spacing w:line="200" w:lineRule="exact"/>
              <w:jc w:val="center"/>
              <w:outlineLvl w:val="9"/>
              <w:rPr>
                <w:rFonts w:ascii="宋体" w:hAnsi="宋体" w:cs="宋体"/>
                <w:color w:val="000000"/>
                <w:kern w:val="0"/>
                <w:sz w:val="16"/>
                <w:szCs w:val="28"/>
              </w:rPr>
            </w:pPr>
          </w:p>
        </w:tc>
      </w:tr>
      <w:tr>
        <w:tblPrEx>
          <w:tblCellMar>
            <w:top w:w="0" w:type="dxa"/>
            <w:left w:w="108" w:type="dxa"/>
            <w:bottom w:w="0" w:type="dxa"/>
            <w:right w:w="108" w:type="dxa"/>
          </w:tblCellMar>
        </w:tblPrEx>
        <w:trPr>
          <w:trHeight w:val="509" w:hRule="atLeast"/>
          <w:jc w:val="center"/>
        </w:trPr>
        <w:tc>
          <w:tcPr>
            <w:tcW w:w="568" w:type="dxa"/>
            <w:vMerge w:val="continue"/>
            <w:tcBorders>
              <w:top w:val="nil"/>
              <w:left w:val="single" w:color="auto" w:sz="8" w:space="0"/>
              <w:bottom w:val="single" w:color="auto" w:sz="4" w:space="0"/>
              <w:right w:val="nil"/>
            </w:tcBorders>
            <w:noWrap w:val="0"/>
            <w:vAlign w:val="center"/>
          </w:tcPr>
          <w:p>
            <w:pPr>
              <w:widowControl/>
              <w:spacing w:line="200" w:lineRule="exact"/>
              <w:jc w:val="center"/>
              <w:outlineLvl w:val="9"/>
              <w:rPr>
                <w:rFonts w:ascii="宋体" w:hAnsi="宋体" w:cs="宋体"/>
                <w:color w:val="000000"/>
                <w:kern w:val="0"/>
                <w:sz w:val="16"/>
                <w:szCs w:val="28"/>
              </w:rPr>
            </w:pPr>
          </w:p>
        </w:tc>
        <w:tc>
          <w:tcPr>
            <w:tcW w:w="912" w:type="dxa"/>
            <w:vMerge w:val="continue"/>
            <w:tcBorders>
              <w:top w:val="single" w:color="auto" w:sz="8" w:space="0"/>
              <w:left w:val="single" w:color="auto" w:sz="8" w:space="0"/>
              <w:bottom w:val="single" w:color="auto" w:sz="4" w:space="0"/>
              <w:right w:val="single" w:color="auto" w:sz="8" w:space="0"/>
            </w:tcBorders>
            <w:noWrap w:val="0"/>
            <w:vAlign w:val="center"/>
          </w:tcPr>
          <w:p>
            <w:pPr>
              <w:widowControl/>
              <w:spacing w:line="200" w:lineRule="exact"/>
              <w:jc w:val="center"/>
              <w:outlineLvl w:val="9"/>
              <w:rPr>
                <w:rFonts w:ascii="宋体" w:hAnsi="宋体" w:cs="宋体"/>
                <w:color w:val="000000"/>
                <w:kern w:val="0"/>
                <w:sz w:val="16"/>
                <w:szCs w:val="28"/>
              </w:rPr>
            </w:pPr>
          </w:p>
        </w:tc>
        <w:tc>
          <w:tcPr>
            <w:tcW w:w="4186" w:type="dxa"/>
            <w:tcBorders>
              <w:top w:val="nil"/>
              <w:left w:val="nil"/>
              <w:bottom w:val="single" w:color="auto" w:sz="4" w:space="0"/>
              <w:right w:val="nil"/>
            </w:tcBorders>
            <w:noWrap w:val="0"/>
            <w:vAlign w:val="center"/>
          </w:tcPr>
          <w:p>
            <w:pPr>
              <w:widowControl/>
              <w:spacing w:line="200" w:lineRule="exact"/>
              <w:jc w:val="left"/>
              <w:outlineLvl w:val="9"/>
              <w:rPr>
                <w:rFonts w:ascii="宋体" w:hAnsi="宋体" w:cs="宋体"/>
                <w:color w:val="000000"/>
                <w:kern w:val="0"/>
                <w:sz w:val="16"/>
                <w:szCs w:val="28"/>
              </w:rPr>
            </w:pPr>
            <w:r>
              <w:rPr>
                <w:rFonts w:hint="eastAsia" w:ascii="宋体" w:hAnsi="宋体" w:cs="宋体"/>
                <w:color w:val="000000"/>
                <w:kern w:val="0"/>
                <w:sz w:val="16"/>
                <w:szCs w:val="28"/>
              </w:rPr>
              <w:t>建设</w:t>
            </w:r>
            <w:r>
              <w:rPr>
                <w:rFonts w:ascii="宋体" w:hAnsi="宋体" w:cs="宋体"/>
                <w:color w:val="000000"/>
                <w:kern w:val="0"/>
                <w:sz w:val="16"/>
                <w:szCs w:val="28"/>
              </w:rPr>
              <w:t>1</w:t>
            </w:r>
            <w:r>
              <w:rPr>
                <w:rFonts w:hint="eastAsia" w:ascii="宋体" w:hAnsi="宋体" w:cs="宋体"/>
                <w:color w:val="000000"/>
                <w:kern w:val="0"/>
                <w:sz w:val="16"/>
                <w:szCs w:val="28"/>
              </w:rPr>
              <w:t>个电商产品展示体验中心，功能区域包括产品线下陈列展示、体验品鉴</w:t>
            </w:r>
            <w:r>
              <w:rPr>
                <w:rFonts w:ascii="宋体" w:hAnsi="宋体" w:cs="宋体"/>
                <w:color w:val="000000"/>
                <w:kern w:val="0"/>
                <w:sz w:val="16"/>
                <w:szCs w:val="28"/>
              </w:rPr>
              <w:t xml:space="preserve"> </w:t>
            </w:r>
            <w:r>
              <w:rPr>
                <w:rFonts w:hint="eastAsia" w:ascii="宋体" w:hAnsi="宋体" w:cs="宋体"/>
                <w:color w:val="000000"/>
                <w:kern w:val="0"/>
                <w:sz w:val="16"/>
                <w:szCs w:val="28"/>
              </w:rPr>
              <w:t>、销售对接</w:t>
            </w:r>
          </w:p>
        </w:tc>
        <w:tc>
          <w:tcPr>
            <w:tcW w:w="1459" w:type="dxa"/>
            <w:tcBorders>
              <w:top w:val="nil"/>
              <w:left w:val="single" w:color="auto" w:sz="8" w:space="0"/>
              <w:bottom w:val="single" w:color="auto" w:sz="4" w:space="0"/>
              <w:right w:val="single" w:color="auto" w:sz="8" w:space="0"/>
            </w:tcBorders>
            <w:noWrap/>
            <w:vAlign w:val="center"/>
          </w:tcPr>
          <w:p>
            <w:pPr>
              <w:widowControl/>
              <w:spacing w:line="200" w:lineRule="exact"/>
              <w:ind w:left="0" w:leftChars="0" w:firstLine="0" w:firstLineChars="0"/>
              <w:jc w:val="both"/>
              <w:outlineLvl w:val="9"/>
              <w:rPr>
                <w:rFonts w:ascii="宋体" w:hAnsi="宋体" w:cs="宋体"/>
                <w:color w:val="000000"/>
                <w:kern w:val="0"/>
                <w:sz w:val="16"/>
                <w:szCs w:val="28"/>
              </w:rPr>
            </w:pPr>
            <w:r>
              <w:rPr>
                <w:rFonts w:ascii="宋体" w:hAnsi="宋体" w:cs="宋体"/>
                <w:color w:val="000000"/>
                <w:kern w:val="0"/>
                <w:sz w:val="16"/>
                <w:szCs w:val="28"/>
              </w:rPr>
              <w:t>2022</w:t>
            </w:r>
            <w:r>
              <w:rPr>
                <w:rFonts w:hint="eastAsia" w:ascii="宋体" w:hAnsi="宋体" w:cs="宋体"/>
                <w:color w:val="000000"/>
                <w:kern w:val="0"/>
                <w:sz w:val="16"/>
                <w:szCs w:val="28"/>
              </w:rPr>
              <w:t>年</w:t>
            </w:r>
            <w:r>
              <w:rPr>
                <w:rFonts w:ascii="宋体" w:hAnsi="宋体" w:cs="宋体"/>
                <w:color w:val="000000"/>
                <w:kern w:val="0"/>
                <w:sz w:val="16"/>
                <w:szCs w:val="28"/>
              </w:rPr>
              <w:t>12</w:t>
            </w:r>
            <w:r>
              <w:rPr>
                <w:rFonts w:hint="eastAsia" w:ascii="宋体" w:hAnsi="宋体" w:cs="宋体"/>
                <w:color w:val="000000"/>
                <w:kern w:val="0"/>
                <w:sz w:val="16"/>
                <w:szCs w:val="28"/>
              </w:rPr>
              <w:t>月底前</w:t>
            </w:r>
          </w:p>
        </w:tc>
        <w:tc>
          <w:tcPr>
            <w:tcW w:w="767" w:type="dxa"/>
            <w:vMerge w:val="continue"/>
            <w:tcBorders>
              <w:top w:val="nil"/>
              <w:left w:val="single" w:color="auto" w:sz="4" w:space="0"/>
              <w:bottom w:val="single" w:color="auto" w:sz="4" w:space="0"/>
              <w:right w:val="single" w:color="auto" w:sz="4" w:space="0"/>
            </w:tcBorders>
            <w:noWrap w:val="0"/>
            <w:vAlign w:val="center"/>
          </w:tcPr>
          <w:p>
            <w:pPr>
              <w:widowControl/>
              <w:spacing w:line="200" w:lineRule="exact"/>
              <w:jc w:val="center"/>
              <w:outlineLvl w:val="9"/>
              <w:rPr>
                <w:rFonts w:ascii="宋体" w:hAnsi="宋体" w:cs="宋体"/>
                <w:color w:val="000000"/>
                <w:kern w:val="0"/>
                <w:sz w:val="16"/>
                <w:szCs w:val="28"/>
              </w:rPr>
            </w:pPr>
          </w:p>
        </w:tc>
        <w:tc>
          <w:tcPr>
            <w:tcW w:w="992" w:type="dxa"/>
            <w:vMerge w:val="continue"/>
            <w:tcBorders>
              <w:top w:val="nil"/>
              <w:left w:val="nil"/>
              <w:bottom w:val="single" w:color="auto" w:sz="4" w:space="0"/>
              <w:right w:val="single" w:color="auto" w:sz="4" w:space="0"/>
            </w:tcBorders>
            <w:noWrap w:val="0"/>
            <w:vAlign w:val="center"/>
          </w:tcPr>
          <w:p>
            <w:pPr>
              <w:widowControl/>
              <w:spacing w:line="200" w:lineRule="exact"/>
              <w:jc w:val="center"/>
              <w:outlineLvl w:val="9"/>
              <w:rPr>
                <w:rFonts w:ascii="宋体" w:hAnsi="宋体" w:cs="宋体"/>
                <w:color w:val="000000"/>
                <w:kern w:val="0"/>
                <w:sz w:val="16"/>
                <w:szCs w:val="28"/>
              </w:rPr>
            </w:pPr>
          </w:p>
        </w:tc>
        <w:tc>
          <w:tcPr>
            <w:tcW w:w="781" w:type="dxa"/>
            <w:vMerge w:val="continue"/>
            <w:tcBorders>
              <w:top w:val="nil"/>
              <w:left w:val="single" w:color="auto" w:sz="4" w:space="0"/>
              <w:bottom w:val="single" w:color="auto" w:sz="4" w:space="0"/>
              <w:right w:val="single" w:color="auto" w:sz="8" w:space="0"/>
            </w:tcBorders>
            <w:noWrap w:val="0"/>
            <w:vAlign w:val="center"/>
          </w:tcPr>
          <w:p>
            <w:pPr>
              <w:widowControl/>
              <w:spacing w:line="200" w:lineRule="exact"/>
              <w:jc w:val="center"/>
              <w:outlineLvl w:val="9"/>
              <w:rPr>
                <w:rFonts w:ascii="宋体" w:hAnsi="宋体" w:cs="宋体"/>
                <w:color w:val="000000"/>
                <w:kern w:val="0"/>
                <w:sz w:val="16"/>
                <w:szCs w:val="28"/>
              </w:rPr>
            </w:pPr>
          </w:p>
        </w:tc>
      </w:tr>
      <w:tr>
        <w:tblPrEx>
          <w:tblCellMar>
            <w:top w:w="0" w:type="dxa"/>
            <w:left w:w="108" w:type="dxa"/>
            <w:bottom w:w="0" w:type="dxa"/>
            <w:right w:w="108" w:type="dxa"/>
          </w:tblCellMar>
        </w:tblPrEx>
        <w:trPr>
          <w:trHeight w:val="271" w:hRule="atLeast"/>
          <w:jc w:val="center"/>
        </w:trPr>
        <w:tc>
          <w:tcPr>
            <w:tcW w:w="568" w:type="dxa"/>
            <w:vMerge w:val="continue"/>
            <w:tcBorders>
              <w:top w:val="nil"/>
              <w:left w:val="single" w:color="auto" w:sz="8" w:space="0"/>
              <w:bottom w:val="single" w:color="auto" w:sz="4" w:space="0"/>
              <w:right w:val="nil"/>
            </w:tcBorders>
            <w:noWrap w:val="0"/>
            <w:vAlign w:val="center"/>
          </w:tcPr>
          <w:p>
            <w:pPr>
              <w:widowControl/>
              <w:spacing w:line="200" w:lineRule="exact"/>
              <w:jc w:val="center"/>
              <w:outlineLvl w:val="9"/>
              <w:rPr>
                <w:rFonts w:ascii="宋体" w:hAnsi="宋体" w:cs="宋体"/>
                <w:color w:val="000000"/>
                <w:kern w:val="0"/>
                <w:sz w:val="16"/>
                <w:szCs w:val="28"/>
              </w:rPr>
            </w:pPr>
          </w:p>
        </w:tc>
        <w:tc>
          <w:tcPr>
            <w:tcW w:w="912" w:type="dxa"/>
            <w:vMerge w:val="continue"/>
            <w:tcBorders>
              <w:top w:val="single" w:color="auto" w:sz="8" w:space="0"/>
              <w:left w:val="single" w:color="auto" w:sz="8" w:space="0"/>
              <w:bottom w:val="single" w:color="auto" w:sz="4" w:space="0"/>
              <w:right w:val="single" w:color="auto" w:sz="8" w:space="0"/>
            </w:tcBorders>
            <w:noWrap w:val="0"/>
            <w:vAlign w:val="center"/>
          </w:tcPr>
          <w:p>
            <w:pPr>
              <w:widowControl/>
              <w:spacing w:line="200" w:lineRule="exact"/>
              <w:jc w:val="center"/>
              <w:outlineLvl w:val="9"/>
              <w:rPr>
                <w:rFonts w:ascii="宋体" w:hAnsi="宋体" w:cs="宋体"/>
                <w:color w:val="000000"/>
                <w:kern w:val="0"/>
                <w:sz w:val="16"/>
                <w:szCs w:val="28"/>
              </w:rPr>
            </w:pPr>
          </w:p>
        </w:tc>
        <w:tc>
          <w:tcPr>
            <w:tcW w:w="4186" w:type="dxa"/>
            <w:tcBorders>
              <w:top w:val="nil"/>
              <w:left w:val="nil"/>
              <w:bottom w:val="single" w:color="auto" w:sz="4" w:space="0"/>
              <w:right w:val="nil"/>
            </w:tcBorders>
            <w:noWrap w:val="0"/>
            <w:vAlign w:val="center"/>
          </w:tcPr>
          <w:p>
            <w:pPr>
              <w:widowControl/>
              <w:spacing w:line="200" w:lineRule="exact"/>
              <w:jc w:val="left"/>
              <w:outlineLvl w:val="9"/>
              <w:rPr>
                <w:rFonts w:ascii="宋体" w:hAnsi="宋体" w:cs="宋体"/>
                <w:color w:val="000000"/>
                <w:kern w:val="0"/>
                <w:sz w:val="16"/>
                <w:szCs w:val="28"/>
              </w:rPr>
            </w:pPr>
            <w:r>
              <w:rPr>
                <w:rFonts w:hint="eastAsia" w:ascii="宋体" w:hAnsi="宋体" w:cs="宋体"/>
                <w:color w:val="000000"/>
                <w:kern w:val="0"/>
                <w:sz w:val="16"/>
                <w:szCs w:val="28"/>
              </w:rPr>
              <w:t>建设</w:t>
            </w:r>
            <w:r>
              <w:rPr>
                <w:rFonts w:ascii="宋体" w:hAnsi="宋体" w:cs="宋体"/>
                <w:color w:val="000000"/>
                <w:kern w:val="0"/>
                <w:sz w:val="16"/>
                <w:szCs w:val="28"/>
              </w:rPr>
              <w:t>1</w:t>
            </w:r>
            <w:r>
              <w:rPr>
                <w:rFonts w:hint="eastAsia" w:ascii="宋体" w:hAnsi="宋体" w:cs="宋体"/>
                <w:color w:val="000000"/>
                <w:kern w:val="0"/>
                <w:sz w:val="16"/>
                <w:szCs w:val="28"/>
              </w:rPr>
              <w:t>个大数据中心，健全电子商务统计监测体系</w:t>
            </w:r>
          </w:p>
        </w:tc>
        <w:tc>
          <w:tcPr>
            <w:tcW w:w="1459" w:type="dxa"/>
            <w:tcBorders>
              <w:top w:val="nil"/>
              <w:left w:val="single" w:color="auto" w:sz="8" w:space="0"/>
              <w:bottom w:val="single" w:color="auto" w:sz="4" w:space="0"/>
              <w:right w:val="single" w:color="auto" w:sz="8" w:space="0"/>
            </w:tcBorders>
            <w:noWrap/>
            <w:vAlign w:val="center"/>
          </w:tcPr>
          <w:p>
            <w:pPr>
              <w:widowControl/>
              <w:spacing w:line="200" w:lineRule="exact"/>
              <w:ind w:left="0" w:leftChars="0" w:firstLine="0" w:firstLineChars="0"/>
              <w:jc w:val="both"/>
              <w:outlineLvl w:val="9"/>
              <w:rPr>
                <w:rFonts w:ascii="宋体" w:hAnsi="宋体" w:cs="宋体"/>
                <w:color w:val="000000"/>
                <w:kern w:val="0"/>
                <w:sz w:val="16"/>
                <w:szCs w:val="28"/>
              </w:rPr>
            </w:pPr>
            <w:r>
              <w:rPr>
                <w:rFonts w:ascii="宋体" w:hAnsi="宋体" w:cs="宋体"/>
                <w:color w:val="000000"/>
                <w:kern w:val="0"/>
                <w:sz w:val="16"/>
                <w:szCs w:val="28"/>
              </w:rPr>
              <w:t>2023</w:t>
            </w:r>
            <w:r>
              <w:rPr>
                <w:rFonts w:hint="eastAsia" w:ascii="宋体" w:hAnsi="宋体" w:cs="宋体"/>
                <w:color w:val="000000"/>
                <w:kern w:val="0"/>
                <w:sz w:val="16"/>
                <w:szCs w:val="28"/>
              </w:rPr>
              <w:t>年</w:t>
            </w:r>
            <w:r>
              <w:rPr>
                <w:rFonts w:ascii="宋体" w:hAnsi="宋体" w:cs="宋体"/>
                <w:color w:val="000000"/>
                <w:kern w:val="0"/>
                <w:sz w:val="16"/>
                <w:szCs w:val="28"/>
              </w:rPr>
              <w:t>2</w:t>
            </w:r>
            <w:r>
              <w:rPr>
                <w:rFonts w:hint="eastAsia" w:ascii="宋体" w:hAnsi="宋体" w:cs="宋体"/>
                <w:color w:val="000000"/>
                <w:kern w:val="0"/>
                <w:sz w:val="16"/>
                <w:szCs w:val="28"/>
              </w:rPr>
              <w:t>月底前</w:t>
            </w:r>
          </w:p>
        </w:tc>
        <w:tc>
          <w:tcPr>
            <w:tcW w:w="767" w:type="dxa"/>
            <w:vMerge w:val="continue"/>
            <w:tcBorders>
              <w:top w:val="nil"/>
              <w:left w:val="single" w:color="auto" w:sz="4" w:space="0"/>
              <w:bottom w:val="single" w:color="auto" w:sz="4" w:space="0"/>
              <w:right w:val="single" w:color="auto" w:sz="4" w:space="0"/>
            </w:tcBorders>
            <w:noWrap w:val="0"/>
            <w:vAlign w:val="center"/>
          </w:tcPr>
          <w:p>
            <w:pPr>
              <w:widowControl/>
              <w:spacing w:line="200" w:lineRule="exact"/>
              <w:jc w:val="center"/>
              <w:outlineLvl w:val="9"/>
              <w:rPr>
                <w:rFonts w:ascii="宋体" w:hAnsi="宋体" w:cs="宋体"/>
                <w:color w:val="000000"/>
                <w:kern w:val="0"/>
                <w:sz w:val="16"/>
                <w:szCs w:val="28"/>
              </w:rPr>
            </w:pPr>
          </w:p>
        </w:tc>
        <w:tc>
          <w:tcPr>
            <w:tcW w:w="992" w:type="dxa"/>
            <w:vMerge w:val="continue"/>
            <w:tcBorders>
              <w:top w:val="nil"/>
              <w:left w:val="nil"/>
              <w:bottom w:val="single" w:color="auto" w:sz="4" w:space="0"/>
              <w:right w:val="single" w:color="auto" w:sz="4" w:space="0"/>
            </w:tcBorders>
            <w:noWrap w:val="0"/>
            <w:vAlign w:val="center"/>
          </w:tcPr>
          <w:p>
            <w:pPr>
              <w:widowControl/>
              <w:spacing w:line="200" w:lineRule="exact"/>
              <w:jc w:val="center"/>
              <w:outlineLvl w:val="9"/>
              <w:rPr>
                <w:rFonts w:ascii="宋体" w:hAnsi="宋体" w:cs="宋体"/>
                <w:color w:val="000000"/>
                <w:kern w:val="0"/>
                <w:sz w:val="16"/>
                <w:szCs w:val="28"/>
              </w:rPr>
            </w:pPr>
          </w:p>
        </w:tc>
        <w:tc>
          <w:tcPr>
            <w:tcW w:w="781" w:type="dxa"/>
            <w:vMerge w:val="continue"/>
            <w:tcBorders>
              <w:top w:val="nil"/>
              <w:left w:val="single" w:color="auto" w:sz="4" w:space="0"/>
              <w:bottom w:val="single" w:color="auto" w:sz="4" w:space="0"/>
              <w:right w:val="single" w:color="auto" w:sz="8" w:space="0"/>
            </w:tcBorders>
            <w:noWrap w:val="0"/>
            <w:vAlign w:val="center"/>
          </w:tcPr>
          <w:p>
            <w:pPr>
              <w:widowControl/>
              <w:spacing w:line="200" w:lineRule="exact"/>
              <w:jc w:val="center"/>
              <w:outlineLvl w:val="9"/>
              <w:rPr>
                <w:rFonts w:ascii="宋体" w:hAnsi="宋体" w:cs="宋体"/>
                <w:color w:val="000000"/>
                <w:kern w:val="0"/>
                <w:sz w:val="16"/>
                <w:szCs w:val="28"/>
              </w:rPr>
            </w:pPr>
          </w:p>
        </w:tc>
      </w:tr>
      <w:tr>
        <w:tblPrEx>
          <w:tblCellMar>
            <w:top w:w="0" w:type="dxa"/>
            <w:left w:w="108" w:type="dxa"/>
            <w:bottom w:w="0" w:type="dxa"/>
            <w:right w:w="108" w:type="dxa"/>
          </w:tblCellMar>
        </w:tblPrEx>
        <w:trPr>
          <w:trHeight w:val="523" w:hRule="atLeast"/>
          <w:jc w:val="center"/>
        </w:trPr>
        <w:tc>
          <w:tcPr>
            <w:tcW w:w="568" w:type="dxa"/>
            <w:vMerge w:val="continue"/>
            <w:tcBorders>
              <w:top w:val="nil"/>
              <w:left w:val="single" w:color="auto" w:sz="8" w:space="0"/>
              <w:bottom w:val="single" w:color="auto" w:sz="4" w:space="0"/>
              <w:right w:val="nil"/>
            </w:tcBorders>
            <w:noWrap w:val="0"/>
            <w:vAlign w:val="center"/>
          </w:tcPr>
          <w:p>
            <w:pPr>
              <w:widowControl/>
              <w:spacing w:line="200" w:lineRule="exact"/>
              <w:jc w:val="center"/>
              <w:outlineLvl w:val="9"/>
              <w:rPr>
                <w:rFonts w:ascii="宋体" w:hAnsi="宋体" w:cs="宋体"/>
                <w:color w:val="000000"/>
                <w:kern w:val="0"/>
                <w:sz w:val="16"/>
                <w:szCs w:val="28"/>
              </w:rPr>
            </w:pPr>
          </w:p>
        </w:tc>
        <w:tc>
          <w:tcPr>
            <w:tcW w:w="912" w:type="dxa"/>
            <w:vMerge w:val="continue"/>
            <w:tcBorders>
              <w:top w:val="single" w:color="auto" w:sz="8" w:space="0"/>
              <w:left w:val="single" w:color="auto" w:sz="8" w:space="0"/>
              <w:bottom w:val="single" w:color="auto" w:sz="4" w:space="0"/>
              <w:right w:val="single" w:color="auto" w:sz="8" w:space="0"/>
            </w:tcBorders>
            <w:noWrap w:val="0"/>
            <w:vAlign w:val="center"/>
          </w:tcPr>
          <w:p>
            <w:pPr>
              <w:widowControl/>
              <w:spacing w:line="200" w:lineRule="exact"/>
              <w:jc w:val="center"/>
              <w:outlineLvl w:val="9"/>
              <w:rPr>
                <w:rFonts w:ascii="宋体" w:hAnsi="宋体" w:cs="宋体"/>
                <w:color w:val="000000"/>
                <w:kern w:val="0"/>
                <w:sz w:val="16"/>
                <w:szCs w:val="28"/>
              </w:rPr>
            </w:pPr>
          </w:p>
        </w:tc>
        <w:tc>
          <w:tcPr>
            <w:tcW w:w="4186" w:type="dxa"/>
            <w:tcBorders>
              <w:top w:val="nil"/>
              <w:left w:val="nil"/>
              <w:bottom w:val="single" w:color="auto" w:sz="4" w:space="0"/>
              <w:right w:val="nil"/>
            </w:tcBorders>
            <w:noWrap w:val="0"/>
            <w:vAlign w:val="center"/>
          </w:tcPr>
          <w:p>
            <w:pPr>
              <w:widowControl/>
              <w:spacing w:line="200" w:lineRule="exact"/>
              <w:jc w:val="left"/>
              <w:outlineLvl w:val="9"/>
              <w:rPr>
                <w:rFonts w:ascii="宋体" w:hAnsi="宋体" w:cs="宋体"/>
                <w:color w:val="000000"/>
                <w:kern w:val="0"/>
                <w:sz w:val="16"/>
                <w:szCs w:val="28"/>
              </w:rPr>
            </w:pPr>
            <w:r>
              <w:rPr>
                <w:rFonts w:hint="eastAsia" w:ascii="宋体" w:hAnsi="宋体" w:cs="宋体"/>
                <w:color w:val="000000"/>
                <w:kern w:val="0"/>
                <w:sz w:val="16"/>
                <w:szCs w:val="28"/>
              </w:rPr>
              <w:t>设立</w:t>
            </w:r>
            <w:r>
              <w:rPr>
                <w:rFonts w:ascii="宋体" w:hAnsi="宋体" w:cs="宋体"/>
                <w:color w:val="000000"/>
                <w:kern w:val="0"/>
                <w:sz w:val="16"/>
                <w:szCs w:val="28"/>
              </w:rPr>
              <w:t>1</w:t>
            </w:r>
            <w:r>
              <w:rPr>
                <w:rFonts w:hint="eastAsia" w:ascii="宋体" w:hAnsi="宋体" w:cs="宋体"/>
                <w:color w:val="000000"/>
                <w:kern w:val="0"/>
                <w:sz w:val="16"/>
                <w:szCs w:val="28"/>
              </w:rPr>
              <w:t>个跨境电商培训孵化基地和服务中心，设立</w:t>
            </w:r>
            <w:r>
              <w:rPr>
                <w:rFonts w:ascii="宋体" w:hAnsi="宋体" w:cs="宋体"/>
                <w:color w:val="000000"/>
                <w:kern w:val="0"/>
                <w:sz w:val="16"/>
                <w:szCs w:val="28"/>
              </w:rPr>
              <w:t>1</w:t>
            </w:r>
            <w:r>
              <w:rPr>
                <w:rFonts w:hint="eastAsia" w:ascii="宋体" w:hAnsi="宋体" w:cs="宋体"/>
                <w:color w:val="000000"/>
                <w:kern w:val="0"/>
                <w:sz w:val="16"/>
                <w:szCs w:val="28"/>
              </w:rPr>
              <w:t>个电商产业培训孵化中心（与电子商务进农村综合示范项目融合）</w:t>
            </w:r>
          </w:p>
        </w:tc>
        <w:tc>
          <w:tcPr>
            <w:tcW w:w="1459" w:type="dxa"/>
            <w:tcBorders>
              <w:top w:val="nil"/>
              <w:left w:val="single" w:color="auto" w:sz="8" w:space="0"/>
              <w:bottom w:val="single" w:color="auto" w:sz="4" w:space="0"/>
              <w:right w:val="single" w:color="auto" w:sz="8" w:space="0"/>
            </w:tcBorders>
            <w:noWrap/>
            <w:vAlign w:val="center"/>
          </w:tcPr>
          <w:p>
            <w:pPr>
              <w:widowControl/>
              <w:spacing w:line="200" w:lineRule="exact"/>
              <w:ind w:left="0" w:leftChars="0" w:firstLine="0" w:firstLineChars="0"/>
              <w:jc w:val="both"/>
              <w:outlineLvl w:val="9"/>
              <w:rPr>
                <w:rFonts w:ascii="宋体" w:hAnsi="宋体" w:cs="宋体"/>
                <w:color w:val="000000"/>
                <w:kern w:val="0"/>
                <w:sz w:val="16"/>
                <w:szCs w:val="28"/>
              </w:rPr>
            </w:pPr>
            <w:r>
              <w:rPr>
                <w:rFonts w:ascii="宋体" w:hAnsi="宋体" w:cs="宋体"/>
                <w:color w:val="000000"/>
                <w:kern w:val="0"/>
                <w:sz w:val="16"/>
                <w:szCs w:val="28"/>
              </w:rPr>
              <w:t>2023</w:t>
            </w:r>
            <w:r>
              <w:rPr>
                <w:rFonts w:hint="eastAsia" w:ascii="宋体" w:hAnsi="宋体" w:cs="宋体"/>
                <w:color w:val="000000"/>
                <w:kern w:val="0"/>
                <w:sz w:val="16"/>
                <w:szCs w:val="28"/>
              </w:rPr>
              <w:t>年</w:t>
            </w:r>
            <w:r>
              <w:rPr>
                <w:rFonts w:ascii="宋体" w:hAnsi="宋体" w:cs="宋体"/>
                <w:color w:val="000000"/>
                <w:kern w:val="0"/>
                <w:sz w:val="16"/>
                <w:szCs w:val="28"/>
              </w:rPr>
              <w:t>11</w:t>
            </w:r>
            <w:r>
              <w:rPr>
                <w:rFonts w:hint="eastAsia" w:ascii="宋体" w:hAnsi="宋体" w:cs="宋体"/>
                <w:color w:val="000000"/>
                <w:kern w:val="0"/>
                <w:sz w:val="16"/>
                <w:szCs w:val="28"/>
              </w:rPr>
              <w:t>月底前</w:t>
            </w:r>
          </w:p>
        </w:tc>
        <w:tc>
          <w:tcPr>
            <w:tcW w:w="767" w:type="dxa"/>
            <w:vMerge w:val="continue"/>
            <w:tcBorders>
              <w:top w:val="nil"/>
              <w:left w:val="single" w:color="auto" w:sz="4" w:space="0"/>
              <w:bottom w:val="single" w:color="auto" w:sz="4" w:space="0"/>
              <w:right w:val="single" w:color="auto" w:sz="4" w:space="0"/>
            </w:tcBorders>
            <w:noWrap w:val="0"/>
            <w:vAlign w:val="center"/>
          </w:tcPr>
          <w:p>
            <w:pPr>
              <w:widowControl/>
              <w:spacing w:line="200" w:lineRule="exact"/>
              <w:jc w:val="center"/>
              <w:outlineLvl w:val="9"/>
              <w:rPr>
                <w:rFonts w:ascii="宋体" w:hAnsi="宋体" w:cs="宋体"/>
                <w:color w:val="000000"/>
                <w:kern w:val="0"/>
                <w:sz w:val="16"/>
                <w:szCs w:val="28"/>
              </w:rPr>
            </w:pPr>
          </w:p>
        </w:tc>
        <w:tc>
          <w:tcPr>
            <w:tcW w:w="992" w:type="dxa"/>
            <w:vMerge w:val="continue"/>
            <w:tcBorders>
              <w:top w:val="nil"/>
              <w:left w:val="nil"/>
              <w:bottom w:val="single" w:color="auto" w:sz="4" w:space="0"/>
              <w:right w:val="single" w:color="auto" w:sz="4" w:space="0"/>
            </w:tcBorders>
            <w:noWrap w:val="0"/>
            <w:vAlign w:val="center"/>
          </w:tcPr>
          <w:p>
            <w:pPr>
              <w:widowControl/>
              <w:spacing w:line="200" w:lineRule="exact"/>
              <w:jc w:val="center"/>
              <w:outlineLvl w:val="9"/>
              <w:rPr>
                <w:rFonts w:ascii="宋体" w:hAnsi="宋体" w:cs="宋体"/>
                <w:color w:val="000000"/>
                <w:kern w:val="0"/>
                <w:sz w:val="16"/>
                <w:szCs w:val="28"/>
              </w:rPr>
            </w:pPr>
          </w:p>
        </w:tc>
        <w:tc>
          <w:tcPr>
            <w:tcW w:w="781" w:type="dxa"/>
            <w:vMerge w:val="continue"/>
            <w:tcBorders>
              <w:top w:val="nil"/>
              <w:left w:val="single" w:color="auto" w:sz="4" w:space="0"/>
              <w:bottom w:val="single" w:color="auto" w:sz="4" w:space="0"/>
              <w:right w:val="single" w:color="auto" w:sz="8" w:space="0"/>
            </w:tcBorders>
            <w:noWrap w:val="0"/>
            <w:vAlign w:val="center"/>
          </w:tcPr>
          <w:p>
            <w:pPr>
              <w:widowControl/>
              <w:spacing w:line="200" w:lineRule="exact"/>
              <w:jc w:val="center"/>
              <w:outlineLvl w:val="9"/>
              <w:rPr>
                <w:rFonts w:ascii="宋体" w:hAnsi="宋体" w:cs="宋体"/>
                <w:color w:val="000000"/>
                <w:kern w:val="0"/>
                <w:sz w:val="16"/>
                <w:szCs w:val="28"/>
              </w:rPr>
            </w:pPr>
          </w:p>
        </w:tc>
      </w:tr>
      <w:tr>
        <w:tblPrEx>
          <w:tblCellMar>
            <w:top w:w="0" w:type="dxa"/>
            <w:left w:w="108" w:type="dxa"/>
            <w:bottom w:w="0" w:type="dxa"/>
            <w:right w:w="108" w:type="dxa"/>
          </w:tblCellMar>
        </w:tblPrEx>
        <w:trPr>
          <w:trHeight w:val="510" w:hRule="atLeast"/>
          <w:jc w:val="center"/>
        </w:trPr>
        <w:tc>
          <w:tcPr>
            <w:tcW w:w="568" w:type="dxa"/>
            <w:vMerge w:val="continue"/>
            <w:tcBorders>
              <w:top w:val="nil"/>
              <w:left w:val="single" w:color="auto" w:sz="8" w:space="0"/>
              <w:bottom w:val="single" w:color="auto" w:sz="4" w:space="0"/>
              <w:right w:val="nil"/>
            </w:tcBorders>
            <w:noWrap w:val="0"/>
            <w:vAlign w:val="center"/>
          </w:tcPr>
          <w:p>
            <w:pPr>
              <w:widowControl/>
              <w:spacing w:line="200" w:lineRule="exact"/>
              <w:jc w:val="center"/>
              <w:outlineLvl w:val="9"/>
              <w:rPr>
                <w:rFonts w:ascii="宋体" w:hAnsi="宋体" w:cs="宋体"/>
                <w:color w:val="000000"/>
                <w:kern w:val="0"/>
                <w:sz w:val="16"/>
                <w:szCs w:val="28"/>
              </w:rPr>
            </w:pPr>
          </w:p>
        </w:tc>
        <w:tc>
          <w:tcPr>
            <w:tcW w:w="912" w:type="dxa"/>
            <w:vMerge w:val="continue"/>
            <w:tcBorders>
              <w:top w:val="single" w:color="auto" w:sz="8" w:space="0"/>
              <w:left w:val="single" w:color="auto" w:sz="8" w:space="0"/>
              <w:bottom w:val="single" w:color="auto" w:sz="4" w:space="0"/>
              <w:right w:val="single" w:color="auto" w:sz="8" w:space="0"/>
            </w:tcBorders>
            <w:noWrap w:val="0"/>
            <w:vAlign w:val="center"/>
          </w:tcPr>
          <w:p>
            <w:pPr>
              <w:widowControl/>
              <w:spacing w:line="200" w:lineRule="exact"/>
              <w:jc w:val="center"/>
              <w:outlineLvl w:val="9"/>
              <w:rPr>
                <w:rFonts w:ascii="宋体" w:hAnsi="宋体" w:cs="宋体"/>
                <w:color w:val="000000"/>
                <w:kern w:val="0"/>
                <w:sz w:val="16"/>
                <w:szCs w:val="28"/>
              </w:rPr>
            </w:pPr>
          </w:p>
        </w:tc>
        <w:tc>
          <w:tcPr>
            <w:tcW w:w="4186" w:type="dxa"/>
            <w:tcBorders>
              <w:top w:val="nil"/>
              <w:left w:val="nil"/>
              <w:bottom w:val="single" w:color="auto" w:sz="4" w:space="0"/>
              <w:right w:val="nil"/>
            </w:tcBorders>
            <w:noWrap w:val="0"/>
            <w:vAlign w:val="center"/>
          </w:tcPr>
          <w:p>
            <w:pPr>
              <w:widowControl/>
              <w:spacing w:line="200" w:lineRule="exact"/>
              <w:jc w:val="left"/>
              <w:outlineLvl w:val="9"/>
              <w:rPr>
                <w:rFonts w:ascii="宋体" w:hAnsi="宋体" w:cs="宋体"/>
                <w:color w:val="000000"/>
                <w:kern w:val="0"/>
                <w:sz w:val="16"/>
                <w:szCs w:val="28"/>
              </w:rPr>
            </w:pPr>
            <w:r>
              <w:rPr>
                <w:rFonts w:hint="eastAsia" w:ascii="宋体" w:hAnsi="宋体" w:cs="宋体"/>
                <w:color w:val="000000"/>
                <w:kern w:val="0"/>
                <w:sz w:val="16"/>
                <w:szCs w:val="28"/>
              </w:rPr>
              <w:t>设立</w:t>
            </w:r>
            <w:r>
              <w:rPr>
                <w:rFonts w:ascii="宋体" w:hAnsi="宋体" w:cs="宋体"/>
                <w:color w:val="000000"/>
                <w:kern w:val="0"/>
                <w:sz w:val="16"/>
                <w:szCs w:val="28"/>
              </w:rPr>
              <w:t>1</w:t>
            </w:r>
            <w:r>
              <w:rPr>
                <w:rFonts w:hint="eastAsia" w:ascii="宋体" w:hAnsi="宋体" w:cs="宋体"/>
                <w:color w:val="000000"/>
                <w:kern w:val="0"/>
                <w:sz w:val="16"/>
                <w:szCs w:val="28"/>
              </w:rPr>
              <w:t>个创新培育服务中心，包括设立</w:t>
            </w:r>
            <w:r>
              <w:rPr>
                <w:rFonts w:ascii="宋体" w:hAnsi="宋体" w:cs="宋体"/>
                <w:color w:val="000000"/>
                <w:kern w:val="0"/>
                <w:sz w:val="16"/>
                <w:szCs w:val="28"/>
              </w:rPr>
              <w:t>1</w:t>
            </w:r>
            <w:r>
              <w:rPr>
                <w:rFonts w:hint="eastAsia" w:ascii="宋体" w:hAnsi="宋体" w:cs="宋体"/>
                <w:color w:val="000000"/>
                <w:kern w:val="0"/>
                <w:sz w:val="16"/>
                <w:szCs w:val="28"/>
              </w:rPr>
              <w:t>个电商研发机构、设立</w:t>
            </w:r>
            <w:r>
              <w:rPr>
                <w:rFonts w:ascii="宋体" w:hAnsi="宋体" w:cs="宋体"/>
                <w:color w:val="000000"/>
                <w:kern w:val="0"/>
                <w:sz w:val="16"/>
                <w:szCs w:val="28"/>
              </w:rPr>
              <w:t>1</w:t>
            </w:r>
            <w:r>
              <w:rPr>
                <w:rFonts w:hint="eastAsia" w:ascii="宋体" w:hAnsi="宋体" w:cs="宋体"/>
                <w:color w:val="000000"/>
                <w:kern w:val="0"/>
                <w:sz w:val="16"/>
                <w:szCs w:val="28"/>
              </w:rPr>
              <w:t>个金融服务网点、设立</w:t>
            </w:r>
            <w:r>
              <w:rPr>
                <w:rFonts w:ascii="宋体" w:hAnsi="宋体" w:cs="宋体"/>
                <w:color w:val="000000"/>
                <w:kern w:val="0"/>
                <w:sz w:val="16"/>
                <w:szCs w:val="28"/>
              </w:rPr>
              <w:t>1</w:t>
            </w:r>
            <w:r>
              <w:rPr>
                <w:rFonts w:hint="eastAsia" w:ascii="宋体" w:hAnsi="宋体" w:cs="宋体"/>
                <w:color w:val="000000"/>
                <w:kern w:val="0"/>
                <w:sz w:val="16"/>
                <w:szCs w:val="28"/>
              </w:rPr>
              <w:t>个通讯服务网点</w:t>
            </w:r>
          </w:p>
        </w:tc>
        <w:tc>
          <w:tcPr>
            <w:tcW w:w="1459" w:type="dxa"/>
            <w:tcBorders>
              <w:top w:val="nil"/>
              <w:left w:val="single" w:color="auto" w:sz="8" w:space="0"/>
              <w:bottom w:val="single" w:color="auto" w:sz="4" w:space="0"/>
              <w:right w:val="single" w:color="auto" w:sz="8" w:space="0"/>
            </w:tcBorders>
            <w:noWrap/>
            <w:vAlign w:val="center"/>
          </w:tcPr>
          <w:p>
            <w:pPr>
              <w:widowControl/>
              <w:spacing w:line="200" w:lineRule="exact"/>
              <w:ind w:left="0" w:leftChars="0" w:firstLine="0" w:firstLineChars="0"/>
              <w:jc w:val="both"/>
              <w:outlineLvl w:val="9"/>
              <w:rPr>
                <w:rFonts w:ascii="宋体" w:hAnsi="宋体" w:cs="宋体"/>
                <w:color w:val="000000"/>
                <w:kern w:val="0"/>
                <w:sz w:val="16"/>
                <w:szCs w:val="28"/>
              </w:rPr>
            </w:pPr>
            <w:r>
              <w:rPr>
                <w:rFonts w:ascii="宋体" w:hAnsi="宋体" w:cs="宋体"/>
                <w:color w:val="000000"/>
                <w:kern w:val="0"/>
                <w:sz w:val="16"/>
                <w:szCs w:val="28"/>
              </w:rPr>
              <w:t>2023</w:t>
            </w:r>
            <w:r>
              <w:rPr>
                <w:rFonts w:hint="eastAsia" w:ascii="宋体" w:hAnsi="宋体" w:cs="宋体"/>
                <w:color w:val="000000"/>
                <w:kern w:val="0"/>
                <w:sz w:val="16"/>
                <w:szCs w:val="28"/>
              </w:rPr>
              <w:t>年</w:t>
            </w:r>
            <w:r>
              <w:rPr>
                <w:rFonts w:ascii="宋体" w:hAnsi="宋体" w:cs="宋体"/>
                <w:color w:val="000000"/>
                <w:kern w:val="0"/>
                <w:sz w:val="16"/>
                <w:szCs w:val="28"/>
              </w:rPr>
              <w:t>2</w:t>
            </w:r>
            <w:r>
              <w:rPr>
                <w:rFonts w:hint="eastAsia" w:ascii="宋体" w:hAnsi="宋体" w:cs="宋体"/>
                <w:color w:val="000000"/>
                <w:kern w:val="0"/>
                <w:sz w:val="16"/>
                <w:szCs w:val="28"/>
              </w:rPr>
              <w:t>月底前</w:t>
            </w:r>
          </w:p>
        </w:tc>
        <w:tc>
          <w:tcPr>
            <w:tcW w:w="767" w:type="dxa"/>
            <w:vMerge w:val="continue"/>
            <w:tcBorders>
              <w:top w:val="nil"/>
              <w:left w:val="single" w:color="auto" w:sz="4" w:space="0"/>
              <w:bottom w:val="single" w:color="auto" w:sz="4" w:space="0"/>
              <w:right w:val="single" w:color="auto" w:sz="4" w:space="0"/>
            </w:tcBorders>
            <w:noWrap w:val="0"/>
            <w:vAlign w:val="center"/>
          </w:tcPr>
          <w:p>
            <w:pPr>
              <w:widowControl/>
              <w:spacing w:line="200" w:lineRule="exact"/>
              <w:jc w:val="center"/>
              <w:outlineLvl w:val="9"/>
              <w:rPr>
                <w:rFonts w:ascii="宋体" w:hAnsi="宋体" w:cs="宋体"/>
                <w:color w:val="000000"/>
                <w:kern w:val="0"/>
                <w:sz w:val="16"/>
                <w:szCs w:val="28"/>
              </w:rPr>
            </w:pPr>
          </w:p>
        </w:tc>
        <w:tc>
          <w:tcPr>
            <w:tcW w:w="992" w:type="dxa"/>
            <w:vMerge w:val="continue"/>
            <w:tcBorders>
              <w:top w:val="nil"/>
              <w:left w:val="nil"/>
              <w:bottom w:val="single" w:color="auto" w:sz="4" w:space="0"/>
              <w:right w:val="single" w:color="auto" w:sz="4" w:space="0"/>
            </w:tcBorders>
            <w:noWrap w:val="0"/>
            <w:vAlign w:val="center"/>
          </w:tcPr>
          <w:p>
            <w:pPr>
              <w:widowControl/>
              <w:spacing w:line="200" w:lineRule="exact"/>
              <w:jc w:val="center"/>
              <w:outlineLvl w:val="9"/>
              <w:rPr>
                <w:rFonts w:ascii="宋体" w:hAnsi="宋体" w:cs="宋体"/>
                <w:color w:val="000000"/>
                <w:kern w:val="0"/>
                <w:sz w:val="16"/>
                <w:szCs w:val="28"/>
              </w:rPr>
            </w:pPr>
          </w:p>
        </w:tc>
        <w:tc>
          <w:tcPr>
            <w:tcW w:w="781" w:type="dxa"/>
            <w:vMerge w:val="continue"/>
            <w:tcBorders>
              <w:top w:val="nil"/>
              <w:left w:val="single" w:color="auto" w:sz="4" w:space="0"/>
              <w:bottom w:val="single" w:color="auto" w:sz="4" w:space="0"/>
              <w:right w:val="single" w:color="auto" w:sz="8" w:space="0"/>
            </w:tcBorders>
            <w:noWrap w:val="0"/>
            <w:vAlign w:val="center"/>
          </w:tcPr>
          <w:p>
            <w:pPr>
              <w:widowControl/>
              <w:spacing w:line="200" w:lineRule="exact"/>
              <w:jc w:val="center"/>
              <w:outlineLvl w:val="9"/>
              <w:rPr>
                <w:rFonts w:ascii="宋体" w:hAnsi="宋体" w:cs="宋体"/>
                <w:color w:val="000000"/>
                <w:kern w:val="0"/>
                <w:sz w:val="16"/>
                <w:szCs w:val="28"/>
              </w:rPr>
            </w:pPr>
          </w:p>
        </w:tc>
      </w:tr>
      <w:tr>
        <w:tblPrEx>
          <w:tblCellMar>
            <w:top w:w="0" w:type="dxa"/>
            <w:left w:w="108" w:type="dxa"/>
            <w:bottom w:w="0" w:type="dxa"/>
            <w:right w:w="108" w:type="dxa"/>
          </w:tblCellMar>
        </w:tblPrEx>
        <w:trPr>
          <w:trHeight w:val="298" w:hRule="atLeast"/>
          <w:jc w:val="center"/>
        </w:trPr>
        <w:tc>
          <w:tcPr>
            <w:tcW w:w="568" w:type="dxa"/>
            <w:vMerge w:val="continue"/>
            <w:tcBorders>
              <w:top w:val="nil"/>
              <w:left w:val="single" w:color="auto" w:sz="8" w:space="0"/>
              <w:bottom w:val="single" w:color="auto" w:sz="4" w:space="0"/>
              <w:right w:val="nil"/>
            </w:tcBorders>
            <w:noWrap w:val="0"/>
            <w:vAlign w:val="center"/>
          </w:tcPr>
          <w:p>
            <w:pPr>
              <w:widowControl/>
              <w:spacing w:line="200" w:lineRule="exact"/>
              <w:jc w:val="center"/>
              <w:outlineLvl w:val="9"/>
              <w:rPr>
                <w:rFonts w:ascii="宋体" w:hAnsi="宋体" w:cs="宋体"/>
                <w:color w:val="000000"/>
                <w:kern w:val="0"/>
                <w:sz w:val="16"/>
                <w:szCs w:val="28"/>
              </w:rPr>
            </w:pPr>
          </w:p>
        </w:tc>
        <w:tc>
          <w:tcPr>
            <w:tcW w:w="912" w:type="dxa"/>
            <w:vMerge w:val="continue"/>
            <w:tcBorders>
              <w:top w:val="single" w:color="auto" w:sz="8" w:space="0"/>
              <w:left w:val="single" w:color="auto" w:sz="8" w:space="0"/>
              <w:bottom w:val="single" w:color="auto" w:sz="4" w:space="0"/>
              <w:right w:val="single" w:color="auto" w:sz="4" w:space="0"/>
            </w:tcBorders>
            <w:noWrap w:val="0"/>
            <w:vAlign w:val="center"/>
          </w:tcPr>
          <w:p>
            <w:pPr>
              <w:widowControl/>
              <w:spacing w:line="200" w:lineRule="exact"/>
              <w:jc w:val="center"/>
              <w:outlineLvl w:val="9"/>
              <w:rPr>
                <w:rFonts w:ascii="宋体" w:hAnsi="宋体" w:cs="宋体"/>
                <w:color w:val="000000"/>
                <w:kern w:val="0"/>
                <w:sz w:val="16"/>
                <w:szCs w:val="28"/>
              </w:rPr>
            </w:pPr>
          </w:p>
        </w:tc>
        <w:tc>
          <w:tcPr>
            <w:tcW w:w="4186" w:type="dxa"/>
            <w:tcBorders>
              <w:top w:val="single" w:color="auto" w:sz="4" w:space="0"/>
              <w:left w:val="single" w:color="auto" w:sz="4" w:space="0"/>
              <w:bottom w:val="single" w:color="auto" w:sz="4" w:space="0"/>
              <w:right w:val="single" w:color="auto" w:sz="4" w:space="0"/>
            </w:tcBorders>
            <w:noWrap w:val="0"/>
            <w:vAlign w:val="center"/>
          </w:tcPr>
          <w:p>
            <w:pPr>
              <w:widowControl/>
              <w:spacing w:line="200" w:lineRule="exact"/>
              <w:jc w:val="left"/>
              <w:outlineLvl w:val="9"/>
              <w:rPr>
                <w:rFonts w:ascii="宋体" w:hAnsi="宋体" w:cs="宋体"/>
                <w:color w:val="000000"/>
                <w:kern w:val="0"/>
                <w:sz w:val="16"/>
                <w:szCs w:val="28"/>
              </w:rPr>
            </w:pPr>
            <w:r>
              <w:rPr>
                <w:rFonts w:hint="eastAsia" w:ascii="宋体" w:hAnsi="宋体" w:cs="宋体"/>
                <w:color w:val="000000"/>
                <w:kern w:val="0"/>
                <w:sz w:val="16"/>
                <w:szCs w:val="28"/>
              </w:rPr>
              <w:t>设立</w:t>
            </w:r>
            <w:r>
              <w:rPr>
                <w:rFonts w:ascii="宋体" w:hAnsi="宋体" w:cs="宋体"/>
                <w:color w:val="000000"/>
                <w:kern w:val="0"/>
                <w:sz w:val="16"/>
                <w:szCs w:val="28"/>
              </w:rPr>
              <w:t>2</w:t>
            </w:r>
            <w:r>
              <w:rPr>
                <w:rFonts w:hint="eastAsia" w:ascii="宋体" w:hAnsi="宋体" w:cs="宋体"/>
                <w:color w:val="000000"/>
                <w:kern w:val="0"/>
                <w:sz w:val="16"/>
                <w:szCs w:val="28"/>
              </w:rPr>
              <w:t>个主题直播间</w:t>
            </w:r>
          </w:p>
        </w:tc>
        <w:tc>
          <w:tcPr>
            <w:tcW w:w="1459" w:type="dxa"/>
            <w:tcBorders>
              <w:top w:val="single" w:color="auto" w:sz="4" w:space="0"/>
              <w:left w:val="single" w:color="auto" w:sz="4" w:space="0"/>
              <w:bottom w:val="single" w:color="auto" w:sz="4" w:space="0"/>
              <w:right w:val="single" w:color="auto" w:sz="4" w:space="0"/>
            </w:tcBorders>
            <w:noWrap/>
            <w:vAlign w:val="center"/>
          </w:tcPr>
          <w:p>
            <w:pPr>
              <w:widowControl/>
              <w:spacing w:line="200" w:lineRule="exact"/>
              <w:ind w:left="0" w:leftChars="0" w:firstLine="0" w:firstLineChars="0"/>
              <w:jc w:val="both"/>
              <w:outlineLvl w:val="9"/>
              <w:rPr>
                <w:rFonts w:ascii="宋体" w:hAnsi="宋体" w:cs="宋体"/>
                <w:color w:val="000000"/>
                <w:kern w:val="0"/>
                <w:sz w:val="16"/>
                <w:szCs w:val="28"/>
              </w:rPr>
            </w:pPr>
            <w:r>
              <w:rPr>
                <w:rFonts w:ascii="宋体" w:hAnsi="宋体" w:cs="宋体"/>
                <w:color w:val="000000"/>
                <w:kern w:val="0"/>
                <w:sz w:val="16"/>
                <w:szCs w:val="28"/>
              </w:rPr>
              <w:t>2022</w:t>
            </w:r>
            <w:r>
              <w:rPr>
                <w:rFonts w:hint="eastAsia" w:ascii="宋体" w:hAnsi="宋体" w:cs="宋体"/>
                <w:color w:val="000000"/>
                <w:kern w:val="0"/>
                <w:sz w:val="16"/>
                <w:szCs w:val="28"/>
              </w:rPr>
              <w:t>年</w:t>
            </w:r>
            <w:r>
              <w:rPr>
                <w:rFonts w:ascii="宋体" w:hAnsi="宋体" w:cs="宋体"/>
                <w:color w:val="000000"/>
                <w:kern w:val="0"/>
                <w:sz w:val="16"/>
                <w:szCs w:val="28"/>
              </w:rPr>
              <w:t>12</w:t>
            </w:r>
            <w:r>
              <w:rPr>
                <w:rFonts w:hint="eastAsia" w:ascii="宋体" w:hAnsi="宋体" w:cs="宋体"/>
                <w:color w:val="000000"/>
                <w:kern w:val="0"/>
                <w:sz w:val="16"/>
                <w:szCs w:val="28"/>
              </w:rPr>
              <w:t>月底前</w:t>
            </w:r>
          </w:p>
        </w:tc>
        <w:tc>
          <w:tcPr>
            <w:tcW w:w="767" w:type="dxa"/>
            <w:vMerge w:val="continue"/>
            <w:tcBorders>
              <w:top w:val="nil"/>
              <w:left w:val="single" w:color="auto" w:sz="4" w:space="0"/>
              <w:bottom w:val="single" w:color="auto" w:sz="4" w:space="0"/>
              <w:right w:val="single" w:color="auto" w:sz="4" w:space="0"/>
            </w:tcBorders>
            <w:noWrap w:val="0"/>
            <w:vAlign w:val="center"/>
          </w:tcPr>
          <w:p>
            <w:pPr>
              <w:widowControl/>
              <w:spacing w:line="200" w:lineRule="exact"/>
              <w:jc w:val="center"/>
              <w:outlineLvl w:val="9"/>
              <w:rPr>
                <w:rFonts w:ascii="宋体" w:hAnsi="宋体" w:cs="宋体"/>
                <w:color w:val="000000"/>
                <w:kern w:val="0"/>
                <w:sz w:val="16"/>
                <w:szCs w:val="28"/>
              </w:rPr>
            </w:pPr>
          </w:p>
        </w:tc>
        <w:tc>
          <w:tcPr>
            <w:tcW w:w="992" w:type="dxa"/>
            <w:vMerge w:val="continue"/>
            <w:tcBorders>
              <w:top w:val="nil"/>
              <w:left w:val="nil"/>
              <w:bottom w:val="single" w:color="auto" w:sz="4" w:space="0"/>
              <w:right w:val="single" w:color="auto" w:sz="4" w:space="0"/>
            </w:tcBorders>
            <w:noWrap w:val="0"/>
            <w:vAlign w:val="center"/>
          </w:tcPr>
          <w:p>
            <w:pPr>
              <w:widowControl/>
              <w:spacing w:line="200" w:lineRule="exact"/>
              <w:jc w:val="center"/>
              <w:outlineLvl w:val="9"/>
              <w:rPr>
                <w:rFonts w:ascii="宋体" w:hAnsi="宋体" w:cs="宋体"/>
                <w:color w:val="000000"/>
                <w:kern w:val="0"/>
                <w:sz w:val="16"/>
                <w:szCs w:val="28"/>
              </w:rPr>
            </w:pPr>
          </w:p>
        </w:tc>
        <w:tc>
          <w:tcPr>
            <w:tcW w:w="781" w:type="dxa"/>
            <w:vMerge w:val="continue"/>
            <w:tcBorders>
              <w:top w:val="nil"/>
              <w:left w:val="single" w:color="auto" w:sz="4" w:space="0"/>
              <w:bottom w:val="single" w:color="auto" w:sz="4" w:space="0"/>
              <w:right w:val="single" w:color="auto" w:sz="8" w:space="0"/>
            </w:tcBorders>
            <w:noWrap w:val="0"/>
            <w:vAlign w:val="center"/>
          </w:tcPr>
          <w:p>
            <w:pPr>
              <w:widowControl/>
              <w:spacing w:line="200" w:lineRule="exact"/>
              <w:jc w:val="center"/>
              <w:outlineLvl w:val="9"/>
              <w:rPr>
                <w:rFonts w:ascii="宋体" w:hAnsi="宋体" w:cs="宋体"/>
                <w:color w:val="000000"/>
                <w:kern w:val="0"/>
                <w:sz w:val="16"/>
                <w:szCs w:val="28"/>
              </w:rPr>
            </w:pPr>
          </w:p>
        </w:tc>
      </w:tr>
      <w:tr>
        <w:tblPrEx>
          <w:tblCellMar>
            <w:top w:w="0" w:type="dxa"/>
            <w:left w:w="108" w:type="dxa"/>
            <w:bottom w:w="0" w:type="dxa"/>
            <w:right w:w="108" w:type="dxa"/>
          </w:tblCellMar>
        </w:tblPrEx>
        <w:trPr>
          <w:trHeight w:val="298" w:hRule="atLeast"/>
          <w:jc w:val="center"/>
        </w:trPr>
        <w:tc>
          <w:tcPr>
            <w:tcW w:w="568" w:type="dxa"/>
            <w:vMerge w:val="continue"/>
            <w:tcBorders>
              <w:top w:val="nil"/>
              <w:left w:val="single" w:color="auto" w:sz="8" w:space="0"/>
              <w:bottom w:val="single" w:color="auto" w:sz="4" w:space="0"/>
              <w:right w:val="nil"/>
            </w:tcBorders>
            <w:noWrap w:val="0"/>
            <w:vAlign w:val="center"/>
          </w:tcPr>
          <w:p>
            <w:pPr>
              <w:widowControl/>
              <w:spacing w:line="200" w:lineRule="exact"/>
              <w:jc w:val="center"/>
              <w:outlineLvl w:val="9"/>
              <w:rPr>
                <w:rFonts w:ascii="宋体" w:hAnsi="宋体" w:cs="宋体"/>
                <w:color w:val="000000"/>
                <w:kern w:val="0"/>
                <w:sz w:val="16"/>
                <w:szCs w:val="28"/>
              </w:rPr>
            </w:pPr>
          </w:p>
        </w:tc>
        <w:tc>
          <w:tcPr>
            <w:tcW w:w="912" w:type="dxa"/>
            <w:vMerge w:val="continue"/>
            <w:tcBorders>
              <w:top w:val="single" w:color="auto" w:sz="8" w:space="0"/>
              <w:left w:val="single" w:color="auto" w:sz="8" w:space="0"/>
              <w:bottom w:val="single" w:color="auto" w:sz="4" w:space="0"/>
              <w:right w:val="single" w:color="auto" w:sz="8" w:space="0"/>
            </w:tcBorders>
            <w:noWrap w:val="0"/>
            <w:vAlign w:val="center"/>
          </w:tcPr>
          <w:p>
            <w:pPr>
              <w:widowControl/>
              <w:spacing w:line="200" w:lineRule="exact"/>
              <w:jc w:val="center"/>
              <w:outlineLvl w:val="9"/>
              <w:rPr>
                <w:rFonts w:ascii="宋体" w:hAnsi="宋体" w:cs="宋体"/>
                <w:color w:val="000000"/>
                <w:kern w:val="0"/>
                <w:sz w:val="16"/>
                <w:szCs w:val="28"/>
              </w:rPr>
            </w:pPr>
          </w:p>
        </w:tc>
        <w:tc>
          <w:tcPr>
            <w:tcW w:w="4186" w:type="dxa"/>
            <w:tcBorders>
              <w:top w:val="single" w:color="auto" w:sz="4" w:space="0"/>
              <w:left w:val="nil"/>
              <w:bottom w:val="single" w:color="auto" w:sz="4" w:space="0"/>
              <w:right w:val="nil"/>
            </w:tcBorders>
            <w:noWrap w:val="0"/>
            <w:vAlign w:val="center"/>
          </w:tcPr>
          <w:p>
            <w:pPr>
              <w:widowControl/>
              <w:spacing w:line="200" w:lineRule="exact"/>
              <w:jc w:val="left"/>
              <w:outlineLvl w:val="9"/>
              <w:rPr>
                <w:rFonts w:ascii="宋体" w:hAnsi="宋体" w:cs="宋体"/>
                <w:color w:val="000000"/>
                <w:kern w:val="0"/>
                <w:sz w:val="16"/>
                <w:szCs w:val="28"/>
              </w:rPr>
            </w:pPr>
            <w:r>
              <w:rPr>
                <w:rFonts w:hint="eastAsia" w:ascii="宋体" w:hAnsi="宋体" w:cs="宋体"/>
                <w:color w:val="000000"/>
                <w:kern w:val="0"/>
                <w:sz w:val="16"/>
                <w:szCs w:val="28"/>
              </w:rPr>
              <w:t>设立乡村</w:t>
            </w:r>
            <w:r>
              <w:rPr>
                <w:rFonts w:ascii="宋体" w:hAnsi="宋体" w:cs="宋体"/>
                <w:color w:val="000000"/>
                <w:kern w:val="0"/>
                <w:sz w:val="16"/>
                <w:szCs w:val="28"/>
              </w:rPr>
              <w:t>e</w:t>
            </w:r>
            <w:r>
              <w:rPr>
                <w:rFonts w:hint="eastAsia" w:ascii="宋体" w:hAnsi="宋体" w:cs="宋体"/>
                <w:color w:val="000000"/>
                <w:kern w:val="0"/>
                <w:sz w:val="16"/>
                <w:szCs w:val="28"/>
              </w:rPr>
              <w:t>镇标识</w:t>
            </w:r>
          </w:p>
        </w:tc>
        <w:tc>
          <w:tcPr>
            <w:tcW w:w="1459" w:type="dxa"/>
            <w:tcBorders>
              <w:top w:val="single" w:color="auto" w:sz="4" w:space="0"/>
              <w:left w:val="single" w:color="auto" w:sz="8" w:space="0"/>
              <w:bottom w:val="single" w:color="auto" w:sz="4" w:space="0"/>
              <w:right w:val="single" w:color="auto" w:sz="8" w:space="0"/>
            </w:tcBorders>
            <w:noWrap/>
            <w:vAlign w:val="center"/>
          </w:tcPr>
          <w:p>
            <w:pPr>
              <w:widowControl/>
              <w:spacing w:line="200" w:lineRule="exact"/>
              <w:ind w:left="0" w:leftChars="0" w:firstLine="0" w:firstLineChars="0"/>
              <w:jc w:val="both"/>
              <w:outlineLvl w:val="9"/>
              <w:rPr>
                <w:rFonts w:ascii="宋体" w:hAnsi="宋体" w:cs="宋体"/>
                <w:color w:val="000000"/>
                <w:kern w:val="0"/>
                <w:sz w:val="16"/>
                <w:szCs w:val="28"/>
              </w:rPr>
            </w:pPr>
            <w:r>
              <w:rPr>
                <w:rFonts w:ascii="宋体" w:hAnsi="宋体" w:cs="宋体"/>
                <w:color w:val="000000"/>
                <w:kern w:val="0"/>
                <w:sz w:val="16"/>
                <w:szCs w:val="28"/>
              </w:rPr>
              <w:t>2022</w:t>
            </w:r>
            <w:r>
              <w:rPr>
                <w:rFonts w:hint="eastAsia" w:ascii="宋体" w:hAnsi="宋体" w:cs="宋体"/>
                <w:color w:val="000000"/>
                <w:kern w:val="0"/>
                <w:sz w:val="16"/>
                <w:szCs w:val="28"/>
              </w:rPr>
              <w:t>年</w:t>
            </w:r>
            <w:r>
              <w:rPr>
                <w:rFonts w:ascii="宋体" w:hAnsi="宋体" w:cs="宋体"/>
                <w:color w:val="000000"/>
                <w:kern w:val="0"/>
                <w:sz w:val="16"/>
                <w:szCs w:val="28"/>
              </w:rPr>
              <w:t>12</w:t>
            </w:r>
            <w:r>
              <w:rPr>
                <w:rFonts w:hint="eastAsia" w:ascii="宋体" w:hAnsi="宋体" w:cs="宋体"/>
                <w:color w:val="000000"/>
                <w:kern w:val="0"/>
                <w:sz w:val="16"/>
                <w:szCs w:val="28"/>
              </w:rPr>
              <w:t>月底前</w:t>
            </w:r>
          </w:p>
        </w:tc>
        <w:tc>
          <w:tcPr>
            <w:tcW w:w="767" w:type="dxa"/>
            <w:vMerge w:val="continue"/>
            <w:tcBorders>
              <w:top w:val="nil"/>
              <w:left w:val="single" w:color="auto" w:sz="4" w:space="0"/>
              <w:bottom w:val="single" w:color="auto" w:sz="4" w:space="0"/>
              <w:right w:val="single" w:color="auto" w:sz="4" w:space="0"/>
            </w:tcBorders>
            <w:noWrap w:val="0"/>
            <w:vAlign w:val="center"/>
          </w:tcPr>
          <w:p>
            <w:pPr>
              <w:widowControl/>
              <w:spacing w:line="200" w:lineRule="exact"/>
              <w:jc w:val="center"/>
              <w:outlineLvl w:val="9"/>
              <w:rPr>
                <w:rFonts w:ascii="宋体" w:hAnsi="宋体" w:cs="宋体"/>
                <w:color w:val="000000"/>
                <w:kern w:val="0"/>
                <w:sz w:val="16"/>
                <w:szCs w:val="28"/>
              </w:rPr>
            </w:pPr>
          </w:p>
        </w:tc>
        <w:tc>
          <w:tcPr>
            <w:tcW w:w="992" w:type="dxa"/>
            <w:vMerge w:val="continue"/>
            <w:tcBorders>
              <w:top w:val="nil"/>
              <w:left w:val="nil"/>
              <w:bottom w:val="single" w:color="auto" w:sz="4" w:space="0"/>
              <w:right w:val="single" w:color="auto" w:sz="4" w:space="0"/>
            </w:tcBorders>
            <w:noWrap w:val="0"/>
            <w:vAlign w:val="center"/>
          </w:tcPr>
          <w:p>
            <w:pPr>
              <w:widowControl/>
              <w:spacing w:line="200" w:lineRule="exact"/>
              <w:jc w:val="center"/>
              <w:outlineLvl w:val="9"/>
              <w:rPr>
                <w:rFonts w:ascii="宋体" w:hAnsi="宋体" w:cs="宋体"/>
                <w:color w:val="000000"/>
                <w:kern w:val="0"/>
                <w:sz w:val="16"/>
                <w:szCs w:val="28"/>
              </w:rPr>
            </w:pPr>
          </w:p>
        </w:tc>
        <w:tc>
          <w:tcPr>
            <w:tcW w:w="781" w:type="dxa"/>
            <w:vMerge w:val="continue"/>
            <w:tcBorders>
              <w:top w:val="nil"/>
              <w:left w:val="single" w:color="auto" w:sz="4" w:space="0"/>
              <w:bottom w:val="single" w:color="auto" w:sz="4" w:space="0"/>
              <w:right w:val="single" w:color="auto" w:sz="8" w:space="0"/>
            </w:tcBorders>
            <w:noWrap w:val="0"/>
            <w:vAlign w:val="center"/>
          </w:tcPr>
          <w:p>
            <w:pPr>
              <w:widowControl/>
              <w:spacing w:line="200" w:lineRule="exact"/>
              <w:jc w:val="center"/>
              <w:outlineLvl w:val="9"/>
              <w:rPr>
                <w:rFonts w:ascii="宋体" w:hAnsi="宋体" w:cs="宋体"/>
                <w:color w:val="000000"/>
                <w:kern w:val="0"/>
                <w:sz w:val="16"/>
                <w:szCs w:val="28"/>
              </w:rPr>
            </w:pPr>
          </w:p>
        </w:tc>
      </w:tr>
      <w:tr>
        <w:tblPrEx>
          <w:tblCellMar>
            <w:top w:w="0" w:type="dxa"/>
            <w:left w:w="108" w:type="dxa"/>
            <w:bottom w:w="0" w:type="dxa"/>
            <w:right w:w="108" w:type="dxa"/>
          </w:tblCellMar>
        </w:tblPrEx>
        <w:trPr>
          <w:trHeight w:val="318" w:hRule="atLeast"/>
          <w:jc w:val="center"/>
        </w:trPr>
        <w:tc>
          <w:tcPr>
            <w:tcW w:w="568" w:type="dxa"/>
            <w:vMerge w:val="continue"/>
            <w:tcBorders>
              <w:top w:val="nil"/>
              <w:left w:val="single" w:color="auto" w:sz="8" w:space="0"/>
              <w:bottom w:val="single" w:color="auto" w:sz="4" w:space="0"/>
              <w:right w:val="nil"/>
            </w:tcBorders>
            <w:noWrap w:val="0"/>
            <w:vAlign w:val="center"/>
          </w:tcPr>
          <w:p>
            <w:pPr>
              <w:widowControl/>
              <w:spacing w:line="200" w:lineRule="exact"/>
              <w:jc w:val="center"/>
              <w:outlineLvl w:val="9"/>
              <w:rPr>
                <w:rFonts w:ascii="宋体" w:hAnsi="宋体" w:cs="宋体"/>
                <w:color w:val="000000"/>
                <w:kern w:val="0"/>
                <w:sz w:val="16"/>
                <w:szCs w:val="28"/>
              </w:rPr>
            </w:pPr>
          </w:p>
        </w:tc>
        <w:tc>
          <w:tcPr>
            <w:tcW w:w="912" w:type="dxa"/>
            <w:vMerge w:val="continue"/>
            <w:tcBorders>
              <w:top w:val="single" w:color="auto" w:sz="8" w:space="0"/>
              <w:left w:val="single" w:color="auto" w:sz="8" w:space="0"/>
              <w:bottom w:val="single" w:color="auto" w:sz="4" w:space="0"/>
              <w:right w:val="single" w:color="auto" w:sz="8" w:space="0"/>
            </w:tcBorders>
            <w:noWrap w:val="0"/>
            <w:vAlign w:val="center"/>
          </w:tcPr>
          <w:p>
            <w:pPr>
              <w:widowControl/>
              <w:spacing w:line="200" w:lineRule="exact"/>
              <w:jc w:val="center"/>
              <w:outlineLvl w:val="9"/>
              <w:rPr>
                <w:rFonts w:ascii="宋体" w:hAnsi="宋体" w:cs="宋体"/>
                <w:color w:val="000000"/>
                <w:kern w:val="0"/>
                <w:sz w:val="16"/>
                <w:szCs w:val="28"/>
              </w:rPr>
            </w:pPr>
          </w:p>
        </w:tc>
        <w:tc>
          <w:tcPr>
            <w:tcW w:w="4186" w:type="dxa"/>
            <w:tcBorders>
              <w:top w:val="nil"/>
              <w:left w:val="nil"/>
              <w:bottom w:val="nil"/>
              <w:right w:val="nil"/>
            </w:tcBorders>
            <w:noWrap w:val="0"/>
            <w:vAlign w:val="center"/>
          </w:tcPr>
          <w:p>
            <w:pPr>
              <w:widowControl/>
              <w:spacing w:line="200" w:lineRule="exact"/>
              <w:jc w:val="left"/>
              <w:outlineLvl w:val="9"/>
              <w:rPr>
                <w:rFonts w:ascii="宋体" w:hAnsi="宋体" w:cs="宋体"/>
                <w:color w:val="000000"/>
                <w:kern w:val="0"/>
                <w:sz w:val="16"/>
                <w:szCs w:val="28"/>
              </w:rPr>
            </w:pPr>
            <w:r>
              <w:rPr>
                <w:rFonts w:hint="eastAsia" w:ascii="宋体" w:hAnsi="宋体" w:cs="宋体"/>
                <w:color w:val="000000"/>
                <w:kern w:val="0"/>
                <w:sz w:val="16"/>
                <w:szCs w:val="28"/>
              </w:rPr>
              <w:t>优化村级电商服务站点</w:t>
            </w:r>
          </w:p>
        </w:tc>
        <w:tc>
          <w:tcPr>
            <w:tcW w:w="1459" w:type="dxa"/>
            <w:tcBorders>
              <w:top w:val="nil"/>
              <w:left w:val="single" w:color="auto" w:sz="8" w:space="0"/>
              <w:bottom w:val="nil"/>
              <w:right w:val="single" w:color="auto" w:sz="8" w:space="0"/>
            </w:tcBorders>
            <w:noWrap/>
            <w:vAlign w:val="center"/>
          </w:tcPr>
          <w:p>
            <w:pPr>
              <w:widowControl/>
              <w:spacing w:line="200" w:lineRule="exact"/>
              <w:ind w:left="0" w:leftChars="0" w:firstLine="0" w:firstLineChars="0"/>
              <w:jc w:val="both"/>
              <w:outlineLvl w:val="9"/>
              <w:rPr>
                <w:rFonts w:ascii="宋体" w:hAnsi="宋体" w:cs="宋体"/>
                <w:color w:val="000000"/>
                <w:kern w:val="0"/>
                <w:sz w:val="16"/>
                <w:szCs w:val="28"/>
              </w:rPr>
            </w:pPr>
            <w:r>
              <w:rPr>
                <w:rFonts w:ascii="宋体" w:hAnsi="宋体" w:cs="宋体"/>
                <w:color w:val="000000"/>
                <w:kern w:val="0"/>
                <w:sz w:val="16"/>
                <w:szCs w:val="28"/>
              </w:rPr>
              <w:t>2023</w:t>
            </w:r>
            <w:r>
              <w:rPr>
                <w:rFonts w:hint="eastAsia" w:ascii="宋体" w:hAnsi="宋体" w:cs="宋体"/>
                <w:color w:val="000000"/>
                <w:kern w:val="0"/>
                <w:sz w:val="16"/>
                <w:szCs w:val="28"/>
              </w:rPr>
              <w:t>年</w:t>
            </w:r>
            <w:r>
              <w:rPr>
                <w:rFonts w:ascii="宋体" w:hAnsi="宋体" w:cs="宋体"/>
                <w:color w:val="000000"/>
                <w:kern w:val="0"/>
                <w:sz w:val="16"/>
                <w:szCs w:val="28"/>
              </w:rPr>
              <w:t>11</w:t>
            </w:r>
            <w:r>
              <w:rPr>
                <w:rFonts w:hint="eastAsia" w:ascii="宋体" w:hAnsi="宋体" w:cs="宋体"/>
                <w:color w:val="000000"/>
                <w:kern w:val="0"/>
                <w:sz w:val="16"/>
                <w:szCs w:val="28"/>
              </w:rPr>
              <w:t>月底前</w:t>
            </w:r>
          </w:p>
        </w:tc>
        <w:tc>
          <w:tcPr>
            <w:tcW w:w="767" w:type="dxa"/>
            <w:vMerge w:val="continue"/>
            <w:tcBorders>
              <w:top w:val="nil"/>
              <w:left w:val="single" w:color="auto" w:sz="4" w:space="0"/>
              <w:bottom w:val="single" w:color="auto" w:sz="4" w:space="0"/>
              <w:right w:val="single" w:color="auto" w:sz="4" w:space="0"/>
            </w:tcBorders>
            <w:noWrap w:val="0"/>
            <w:vAlign w:val="center"/>
          </w:tcPr>
          <w:p>
            <w:pPr>
              <w:widowControl/>
              <w:spacing w:line="200" w:lineRule="exact"/>
              <w:jc w:val="center"/>
              <w:outlineLvl w:val="9"/>
              <w:rPr>
                <w:rFonts w:ascii="宋体" w:hAnsi="宋体" w:cs="宋体"/>
                <w:color w:val="000000"/>
                <w:kern w:val="0"/>
                <w:sz w:val="16"/>
                <w:szCs w:val="28"/>
              </w:rPr>
            </w:pPr>
          </w:p>
        </w:tc>
        <w:tc>
          <w:tcPr>
            <w:tcW w:w="992" w:type="dxa"/>
            <w:vMerge w:val="continue"/>
            <w:tcBorders>
              <w:top w:val="nil"/>
              <w:left w:val="nil"/>
              <w:bottom w:val="single" w:color="auto" w:sz="4" w:space="0"/>
              <w:right w:val="single" w:color="auto" w:sz="4" w:space="0"/>
            </w:tcBorders>
            <w:noWrap w:val="0"/>
            <w:vAlign w:val="center"/>
          </w:tcPr>
          <w:p>
            <w:pPr>
              <w:widowControl/>
              <w:spacing w:line="200" w:lineRule="exact"/>
              <w:jc w:val="center"/>
              <w:outlineLvl w:val="9"/>
              <w:rPr>
                <w:rFonts w:ascii="宋体" w:hAnsi="宋体" w:cs="宋体"/>
                <w:color w:val="000000"/>
                <w:kern w:val="0"/>
                <w:sz w:val="16"/>
                <w:szCs w:val="28"/>
              </w:rPr>
            </w:pPr>
          </w:p>
        </w:tc>
        <w:tc>
          <w:tcPr>
            <w:tcW w:w="781" w:type="dxa"/>
            <w:vMerge w:val="continue"/>
            <w:tcBorders>
              <w:top w:val="nil"/>
              <w:left w:val="single" w:color="auto" w:sz="4" w:space="0"/>
              <w:bottom w:val="single" w:color="auto" w:sz="4" w:space="0"/>
              <w:right w:val="single" w:color="auto" w:sz="8" w:space="0"/>
            </w:tcBorders>
            <w:noWrap w:val="0"/>
            <w:vAlign w:val="center"/>
          </w:tcPr>
          <w:p>
            <w:pPr>
              <w:widowControl/>
              <w:spacing w:line="200" w:lineRule="exact"/>
              <w:jc w:val="center"/>
              <w:outlineLvl w:val="9"/>
              <w:rPr>
                <w:rFonts w:ascii="宋体" w:hAnsi="宋体" w:cs="宋体"/>
                <w:color w:val="000000"/>
                <w:kern w:val="0"/>
                <w:sz w:val="16"/>
                <w:szCs w:val="28"/>
              </w:rPr>
            </w:pPr>
          </w:p>
        </w:tc>
      </w:tr>
      <w:tr>
        <w:tblPrEx>
          <w:tblCellMar>
            <w:top w:w="0" w:type="dxa"/>
            <w:left w:w="108" w:type="dxa"/>
            <w:bottom w:w="0" w:type="dxa"/>
            <w:right w:w="108" w:type="dxa"/>
          </w:tblCellMar>
        </w:tblPrEx>
        <w:trPr>
          <w:trHeight w:val="298" w:hRule="atLeast"/>
          <w:jc w:val="center"/>
        </w:trPr>
        <w:tc>
          <w:tcPr>
            <w:tcW w:w="568" w:type="dxa"/>
            <w:vMerge w:val="restart"/>
            <w:tcBorders>
              <w:top w:val="single" w:color="auto" w:sz="8" w:space="0"/>
              <w:left w:val="single" w:color="auto" w:sz="8" w:space="0"/>
              <w:bottom w:val="single" w:color="auto" w:sz="4" w:space="0"/>
              <w:right w:val="nil"/>
            </w:tcBorders>
            <w:noWrap/>
            <w:vAlign w:val="center"/>
          </w:tcPr>
          <w:p>
            <w:pPr>
              <w:widowControl/>
              <w:spacing w:line="200" w:lineRule="exact"/>
              <w:ind w:left="0" w:leftChars="0" w:firstLine="0" w:firstLineChars="0"/>
              <w:jc w:val="center"/>
              <w:outlineLvl w:val="9"/>
              <w:rPr>
                <w:rFonts w:ascii="宋体" w:hAnsi="宋体" w:cs="宋体"/>
                <w:color w:val="000000"/>
                <w:kern w:val="0"/>
                <w:sz w:val="16"/>
                <w:szCs w:val="28"/>
              </w:rPr>
            </w:pPr>
            <w:r>
              <w:rPr>
                <w:rFonts w:ascii="宋体" w:hAnsi="宋体" w:cs="宋体"/>
                <w:color w:val="000000"/>
                <w:kern w:val="0"/>
                <w:sz w:val="16"/>
                <w:szCs w:val="28"/>
              </w:rPr>
              <w:t>2</w:t>
            </w:r>
          </w:p>
        </w:tc>
        <w:tc>
          <w:tcPr>
            <w:tcW w:w="912" w:type="dxa"/>
            <w:vMerge w:val="restart"/>
            <w:tcBorders>
              <w:top w:val="single" w:color="auto" w:sz="8" w:space="0"/>
              <w:left w:val="single" w:color="auto" w:sz="8" w:space="0"/>
              <w:bottom w:val="single" w:color="auto" w:sz="4" w:space="0"/>
              <w:right w:val="single" w:color="auto" w:sz="8" w:space="0"/>
            </w:tcBorders>
            <w:noWrap w:val="0"/>
            <w:vAlign w:val="center"/>
          </w:tcPr>
          <w:p>
            <w:pPr>
              <w:widowControl/>
              <w:spacing w:line="200" w:lineRule="exact"/>
              <w:ind w:left="0" w:leftChars="0" w:firstLine="0" w:firstLineChars="0"/>
              <w:jc w:val="center"/>
              <w:outlineLvl w:val="9"/>
              <w:rPr>
                <w:rFonts w:ascii="宋体" w:hAnsi="宋体" w:cs="宋体"/>
                <w:color w:val="000000"/>
                <w:kern w:val="0"/>
                <w:sz w:val="16"/>
                <w:szCs w:val="28"/>
              </w:rPr>
            </w:pPr>
            <w:r>
              <w:rPr>
                <w:rFonts w:hint="eastAsia" w:ascii="宋体" w:hAnsi="宋体" w:cs="宋体"/>
                <w:color w:val="000000"/>
                <w:kern w:val="0"/>
                <w:sz w:val="16"/>
                <w:szCs w:val="28"/>
              </w:rPr>
              <w:t>乡村</w:t>
            </w:r>
            <w:r>
              <w:rPr>
                <w:rFonts w:ascii="宋体" w:hAnsi="宋体" w:cs="宋体"/>
                <w:color w:val="000000"/>
                <w:kern w:val="0"/>
                <w:sz w:val="16"/>
                <w:szCs w:val="28"/>
              </w:rPr>
              <w:t>e</w:t>
            </w:r>
            <w:r>
              <w:rPr>
                <w:rFonts w:hint="eastAsia" w:ascii="宋体" w:hAnsi="宋体" w:cs="宋体"/>
                <w:color w:val="000000"/>
                <w:kern w:val="0"/>
                <w:sz w:val="16"/>
                <w:szCs w:val="28"/>
              </w:rPr>
              <w:t>镇</w:t>
            </w:r>
            <w:r>
              <w:rPr>
                <w:rFonts w:ascii="宋体" w:hAnsi="宋体" w:cs="宋体"/>
                <w:color w:val="000000"/>
                <w:kern w:val="0"/>
                <w:sz w:val="16"/>
                <w:szCs w:val="28"/>
              </w:rPr>
              <w:br w:type="textWrapping"/>
            </w:r>
            <w:r>
              <w:rPr>
                <w:rFonts w:hint="eastAsia" w:ascii="宋体" w:hAnsi="宋体" w:cs="宋体"/>
                <w:color w:val="000000"/>
                <w:kern w:val="0"/>
                <w:sz w:val="16"/>
                <w:szCs w:val="28"/>
              </w:rPr>
              <w:t>电子商务</w:t>
            </w:r>
            <w:r>
              <w:rPr>
                <w:rFonts w:ascii="宋体" w:hAnsi="宋体" w:cs="宋体"/>
                <w:color w:val="000000"/>
                <w:kern w:val="0"/>
                <w:sz w:val="16"/>
                <w:szCs w:val="28"/>
              </w:rPr>
              <w:br w:type="textWrapping"/>
            </w:r>
            <w:r>
              <w:rPr>
                <w:rFonts w:hint="eastAsia" w:ascii="宋体" w:hAnsi="宋体" w:cs="宋体"/>
                <w:color w:val="000000"/>
                <w:kern w:val="0"/>
                <w:sz w:val="16"/>
                <w:szCs w:val="28"/>
              </w:rPr>
              <w:t>市场主体建设</w:t>
            </w:r>
          </w:p>
        </w:tc>
        <w:tc>
          <w:tcPr>
            <w:tcW w:w="4186" w:type="dxa"/>
            <w:tcBorders>
              <w:top w:val="single" w:color="auto" w:sz="8" w:space="0"/>
              <w:left w:val="nil"/>
              <w:bottom w:val="single" w:color="auto" w:sz="4" w:space="0"/>
              <w:right w:val="nil"/>
            </w:tcBorders>
            <w:noWrap w:val="0"/>
            <w:vAlign w:val="center"/>
          </w:tcPr>
          <w:p>
            <w:pPr>
              <w:widowControl/>
              <w:spacing w:line="200" w:lineRule="exact"/>
              <w:jc w:val="left"/>
              <w:outlineLvl w:val="9"/>
              <w:rPr>
                <w:rFonts w:ascii="宋体" w:hAnsi="宋体" w:cs="宋体"/>
                <w:color w:val="000000"/>
                <w:kern w:val="0"/>
                <w:sz w:val="16"/>
                <w:szCs w:val="28"/>
              </w:rPr>
            </w:pPr>
            <w:r>
              <w:rPr>
                <w:rFonts w:hint="eastAsia" w:ascii="宋体" w:hAnsi="宋体" w:cs="宋体"/>
                <w:color w:val="000000"/>
                <w:kern w:val="0"/>
                <w:sz w:val="16"/>
                <w:szCs w:val="28"/>
              </w:rPr>
              <w:t>引进培育电商龙头企业不少于</w:t>
            </w:r>
            <w:r>
              <w:rPr>
                <w:rFonts w:ascii="宋体" w:hAnsi="宋体" w:cs="宋体"/>
                <w:color w:val="000000"/>
                <w:kern w:val="0"/>
                <w:sz w:val="16"/>
                <w:szCs w:val="28"/>
              </w:rPr>
              <w:t>5</w:t>
            </w:r>
            <w:r>
              <w:rPr>
                <w:rFonts w:hint="eastAsia" w:ascii="宋体" w:hAnsi="宋体" w:cs="宋体"/>
                <w:color w:val="000000"/>
                <w:kern w:val="0"/>
                <w:sz w:val="16"/>
                <w:szCs w:val="28"/>
              </w:rPr>
              <w:t>家</w:t>
            </w:r>
          </w:p>
        </w:tc>
        <w:tc>
          <w:tcPr>
            <w:tcW w:w="1459" w:type="dxa"/>
            <w:tcBorders>
              <w:top w:val="single" w:color="auto" w:sz="8" w:space="0"/>
              <w:left w:val="single" w:color="auto" w:sz="8" w:space="0"/>
              <w:bottom w:val="single" w:color="auto" w:sz="4" w:space="0"/>
              <w:right w:val="single" w:color="auto" w:sz="8" w:space="0"/>
            </w:tcBorders>
            <w:noWrap/>
            <w:vAlign w:val="center"/>
          </w:tcPr>
          <w:p>
            <w:pPr>
              <w:widowControl/>
              <w:spacing w:line="200" w:lineRule="exact"/>
              <w:ind w:left="0" w:leftChars="0" w:firstLine="0" w:firstLineChars="0"/>
              <w:jc w:val="both"/>
              <w:outlineLvl w:val="9"/>
              <w:rPr>
                <w:rFonts w:ascii="宋体" w:hAnsi="宋体" w:cs="宋体"/>
                <w:color w:val="000000"/>
                <w:kern w:val="0"/>
                <w:sz w:val="16"/>
                <w:szCs w:val="28"/>
              </w:rPr>
            </w:pPr>
            <w:r>
              <w:rPr>
                <w:rFonts w:ascii="宋体" w:hAnsi="宋体" w:cs="宋体"/>
                <w:color w:val="000000"/>
                <w:kern w:val="0"/>
                <w:sz w:val="16"/>
                <w:szCs w:val="28"/>
              </w:rPr>
              <w:t>2023</w:t>
            </w:r>
            <w:r>
              <w:rPr>
                <w:rFonts w:hint="eastAsia" w:ascii="宋体" w:hAnsi="宋体" w:cs="宋体"/>
                <w:color w:val="000000"/>
                <w:kern w:val="0"/>
                <w:sz w:val="16"/>
                <w:szCs w:val="28"/>
              </w:rPr>
              <w:t>年</w:t>
            </w:r>
            <w:r>
              <w:rPr>
                <w:rFonts w:ascii="宋体" w:hAnsi="宋体" w:cs="宋体"/>
                <w:color w:val="000000"/>
                <w:kern w:val="0"/>
                <w:sz w:val="16"/>
                <w:szCs w:val="28"/>
              </w:rPr>
              <w:t>11</w:t>
            </w:r>
            <w:r>
              <w:rPr>
                <w:rFonts w:hint="eastAsia" w:ascii="宋体" w:hAnsi="宋体" w:cs="宋体"/>
                <w:color w:val="000000"/>
                <w:kern w:val="0"/>
                <w:sz w:val="16"/>
                <w:szCs w:val="28"/>
              </w:rPr>
              <w:t>月底前</w:t>
            </w:r>
          </w:p>
        </w:tc>
        <w:tc>
          <w:tcPr>
            <w:tcW w:w="767" w:type="dxa"/>
            <w:vMerge w:val="restart"/>
            <w:tcBorders>
              <w:top w:val="single" w:color="auto" w:sz="8" w:space="0"/>
              <w:left w:val="single" w:color="auto" w:sz="4" w:space="0"/>
              <w:bottom w:val="single" w:color="auto" w:sz="4" w:space="0"/>
              <w:right w:val="single" w:color="auto" w:sz="4" w:space="0"/>
            </w:tcBorders>
            <w:noWrap/>
            <w:vAlign w:val="center"/>
          </w:tcPr>
          <w:p>
            <w:pPr>
              <w:widowControl/>
              <w:spacing w:line="200" w:lineRule="exact"/>
              <w:ind w:left="0" w:leftChars="0" w:firstLine="0" w:firstLineChars="0"/>
              <w:jc w:val="center"/>
              <w:outlineLvl w:val="9"/>
              <w:rPr>
                <w:rFonts w:ascii="宋体" w:hAnsi="宋体" w:cs="宋体"/>
                <w:color w:val="000000"/>
                <w:kern w:val="0"/>
                <w:sz w:val="16"/>
                <w:szCs w:val="28"/>
              </w:rPr>
            </w:pPr>
            <w:r>
              <w:rPr>
                <w:rFonts w:ascii="宋体" w:hAnsi="宋体" w:cs="宋体"/>
                <w:color w:val="000000"/>
                <w:kern w:val="0"/>
                <w:sz w:val="16"/>
                <w:szCs w:val="28"/>
              </w:rPr>
              <w:t>200</w:t>
            </w:r>
          </w:p>
        </w:tc>
        <w:tc>
          <w:tcPr>
            <w:tcW w:w="992" w:type="dxa"/>
            <w:vMerge w:val="restart"/>
            <w:tcBorders>
              <w:top w:val="single" w:color="auto" w:sz="8" w:space="0"/>
              <w:left w:val="nil"/>
              <w:bottom w:val="single" w:color="auto" w:sz="4" w:space="0"/>
              <w:right w:val="single" w:color="auto" w:sz="4" w:space="0"/>
            </w:tcBorders>
            <w:noWrap/>
            <w:vAlign w:val="center"/>
          </w:tcPr>
          <w:p>
            <w:pPr>
              <w:widowControl/>
              <w:spacing w:line="200" w:lineRule="exact"/>
              <w:ind w:left="0" w:leftChars="0" w:firstLine="0" w:firstLineChars="0"/>
              <w:jc w:val="center"/>
              <w:outlineLvl w:val="9"/>
              <w:rPr>
                <w:rFonts w:ascii="宋体" w:hAnsi="宋体" w:cs="宋体"/>
                <w:color w:val="000000"/>
                <w:kern w:val="0"/>
                <w:sz w:val="16"/>
                <w:szCs w:val="28"/>
              </w:rPr>
            </w:pPr>
            <w:r>
              <w:rPr>
                <w:rFonts w:ascii="宋体" w:hAnsi="宋体" w:cs="宋体"/>
                <w:color w:val="000000"/>
                <w:kern w:val="0"/>
                <w:sz w:val="16"/>
                <w:szCs w:val="28"/>
              </w:rPr>
              <w:t>0</w:t>
            </w:r>
          </w:p>
        </w:tc>
        <w:tc>
          <w:tcPr>
            <w:tcW w:w="781" w:type="dxa"/>
            <w:vMerge w:val="restart"/>
            <w:tcBorders>
              <w:top w:val="single" w:color="auto" w:sz="8" w:space="0"/>
              <w:left w:val="single" w:color="auto" w:sz="4" w:space="0"/>
              <w:bottom w:val="single" w:color="auto" w:sz="4" w:space="0"/>
              <w:right w:val="single" w:color="auto" w:sz="8" w:space="0"/>
            </w:tcBorders>
            <w:noWrap/>
            <w:vAlign w:val="center"/>
          </w:tcPr>
          <w:p>
            <w:pPr>
              <w:widowControl/>
              <w:spacing w:line="200" w:lineRule="exact"/>
              <w:ind w:left="0" w:leftChars="0" w:firstLine="0" w:firstLineChars="0"/>
              <w:jc w:val="center"/>
              <w:outlineLvl w:val="9"/>
              <w:rPr>
                <w:rFonts w:ascii="宋体" w:hAnsi="宋体" w:cs="宋体"/>
                <w:color w:val="000000"/>
                <w:kern w:val="0"/>
                <w:sz w:val="16"/>
                <w:szCs w:val="28"/>
              </w:rPr>
            </w:pPr>
            <w:r>
              <w:rPr>
                <w:rFonts w:ascii="宋体" w:hAnsi="宋体" w:cs="宋体"/>
                <w:color w:val="000000"/>
                <w:kern w:val="0"/>
                <w:sz w:val="16"/>
                <w:szCs w:val="28"/>
              </w:rPr>
              <w:t>200</w:t>
            </w:r>
          </w:p>
        </w:tc>
      </w:tr>
      <w:tr>
        <w:tblPrEx>
          <w:tblCellMar>
            <w:top w:w="0" w:type="dxa"/>
            <w:left w:w="108" w:type="dxa"/>
            <w:bottom w:w="0" w:type="dxa"/>
            <w:right w:w="108" w:type="dxa"/>
          </w:tblCellMar>
        </w:tblPrEx>
        <w:trPr>
          <w:trHeight w:val="298" w:hRule="atLeast"/>
          <w:jc w:val="center"/>
        </w:trPr>
        <w:tc>
          <w:tcPr>
            <w:tcW w:w="568" w:type="dxa"/>
            <w:vMerge w:val="continue"/>
            <w:tcBorders>
              <w:top w:val="single" w:color="auto" w:sz="8" w:space="0"/>
              <w:left w:val="single" w:color="auto" w:sz="8" w:space="0"/>
              <w:bottom w:val="single" w:color="auto" w:sz="4" w:space="0"/>
              <w:right w:val="nil"/>
            </w:tcBorders>
            <w:noWrap w:val="0"/>
            <w:vAlign w:val="center"/>
          </w:tcPr>
          <w:p>
            <w:pPr>
              <w:widowControl/>
              <w:spacing w:line="200" w:lineRule="exact"/>
              <w:jc w:val="center"/>
              <w:outlineLvl w:val="9"/>
              <w:rPr>
                <w:rFonts w:ascii="宋体" w:hAnsi="宋体" w:cs="宋体"/>
                <w:color w:val="000000"/>
                <w:kern w:val="0"/>
                <w:sz w:val="16"/>
                <w:szCs w:val="28"/>
              </w:rPr>
            </w:pPr>
          </w:p>
        </w:tc>
        <w:tc>
          <w:tcPr>
            <w:tcW w:w="912" w:type="dxa"/>
            <w:vMerge w:val="continue"/>
            <w:tcBorders>
              <w:top w:val="single" w:color="auto" w:sz="8" w:space="0"/>
              <w:left w:val="single" w:color="auto" w:sz="8" w:space="0"/>
              <w:bottom w:val="single" w:color="auto" w:sz="4" w:space="0"/>
              <w:right w:val="single" w:color="auto" w:sz="8" w:space="0"/>
            </w:tcBorders>
            <w:noWrap w:val="0"/>
            <w:vAlign w:val="center"/>
          </w:tcPr>
          <w:p>
            <w:pPr>
              <w:widowControl/>
              <w:spacing w:line="200" w:lineRule="exact"/>
              <w:jc w:val="center"/>
              <w:outlineLvl w:val="9"/>
              <w:rPr>
                <w:rFonts w:ascii="宋体" w:hAnsi="宋体" w:cs="宋体"/>
                <w:color w:val="000000"/>
                <w:kern w:val="0"/>
                <w:sz w:val="16"/>
                <w:szCs w:val="28"/>
              </w:rPr>
            </w:pPr>
          </w:p>
        </w:tc>
        <w:tc>
          <w:tcPr>
            <w:tcW w:w="4186" w:type="dxa"/>
            <w:tcBorders>
              <w:top w:val="nil"/>
              <w:left w:val="nil"/>
              <w:bottom w:val="single" w:color="auto" w:sz="4" w:space="0"/>
              <w:right w:val="nil"/>
            </w:tcBorders>
            <w:noWrap w:val="0"/>
            <w:vAlign w:val="center"/>
          </w:tcPr>
          <w:p>
            <w:pPr>
              <w:widowControl/>
              <w:spacing w:line="200" w:lineRule="exact"/>
              <w:jc w:val="left"/>
              <w:outlineLvl w:val="9"/>
              <w:rPr>
                <w:rFonts w:ascii="宋体" w:hAnsi="宋体" w:cs="宋体"/>
                <w:color w:val="000000"/>
                <w:kern w:val="0"/>
                <w:sz w:val="16"/>
                <w:szCs w:val="28"/>
              </w:rPr>
            </w:pPr>
            <w:r>
              <w:rPr>
                <w:rFonts w:hint="eastAsia" w:ascii="宋体" w:hAnsi="宋体" w:cs="宋体"/>
                <w:color w:val="000000"/>
                <w:kern w:val="0"/>
                <w:sz w:val="16"/>
                <w:szCs w:val="28"/>
              </w:rPr>
              <w:t>在国内有影响力的电商平台至少建立</w:t>
            </w:r>
            <w:r>
              <w:rPr>
                <w:rFonts w:ascii="宋体" w:hAnsi="宋体" w:cs="宋体"/>
                <w:color w:val="000000"/>
                <w:kern w:val="0"/>
                <w:sz w:val="16"/>
                <w:szCs w:val="28"/>
              </w:rPr>
              <w:t>1</w:t>
            </w:r>
            <w:r>
              <w:rPr>
                <w:rFonts w:hint="eastAsia" w:ascii="宋体" w:hAnsi="宋体" w:cs="宋体"/>
                <w:color w:val="000000"/>
                <w:kern w:val="0"/>
                <w:sz w:val="16"/>
                <w:szCs w:val="28"/>
              </w:rPr>
              <w:t>个本地产品特色馆</w:t>
            </w:r>
          </w:p>
        </w:tc>
        <w:tc>
          <w:tcPr>
            <w:tcW w:w="1459" w:type="dxa"/>
            <w:tcBorders>
              <w:top w:val="nil"/>
              <w:left w:val="single" w:color="auto" w:sz="8" w:space="0"/>
              <w:bottom w:val="single" w:color="auto" w:sz="4" w:space="0"/>
              <w:right w:val="single" w:color="auto" w:sz="8" w:space="0"/>
            </w:tcBorders>
            <w:noWrap/>
            <w:vAlign w:val="center"/>
          </w:tcPr>
          <w:p>
            <w:pPr>
              <w:widowControl/>
              <w:spacing w:line="200" w:lineRule="exact"/>
              <w:ind w:left="0" w:leftChars="0" w:firstLine="0" w:firstLineChars="0"/>
              <w:jc w:val="both"/>
              <w:outlineLvl w:val="9"/>
              <w:rPr>
                <w:rFonts w:ascii="宋体" w:hAnsi="宋体" w:cs="宋体"/>
                <w:color w:val="000000"/>
                <w:kern w:val="0"/>
                <w:sz w:val="16"/>
                <w:szCs w:val="28"/>
              </w:rPr>
            </w:pPr>
            <w:r>
              <w:rPr>
                <w:rFonts w:ascii="宋体" w:hAnsi="宋体" w:cs="宋体"/>
                <w:color w:val="000000"/>
                <w:kern w:val="0"/>
                <w:sz w:val="16"/>
                <w:szCs w:val="28"/>
              </w:rPr>
              <w:t>2023</w:t>
            </w:r>
            <w:r>
              <w:rPr>
                <w:rFonts w:hint="eastAsia" w:ascii="宋体" w:hAnsi="宋体" w:cs="宋体"/>
                <w:color w:val="000000"/>
                <w:kern w:val="0"/>
                <w:sz w:val="16"/>
                <w:szCs w:val="28"/>
              </w:rPr>
              <w:t>年</w:t>
            </w:r>
            <w:r>
              <w:rPr>
                <w:rFonts w:ascii="宋体" w:hAnsi="宋体" w:cs="宋体"/>
                <w:color w:val="000000"/>
                <w:kern w:val="0"/>
                <w:sz w:val="16"/>
                <w:szCs w:val="28"/>
              </w:rPr>
              <w:t>11</w:t>
            </w:r>
            <w:r>
              <w:rPr>
                <w:rFonts w:hint="eastAsia" w:ascii="宋体" w:hAnsi="宋体" w:cs="宋体"/>
                <w:color w:val="000000"/>
                <w:kern w:val="0"/>
                <w:sz w:val="16"/>
                <w:szCs w:val="28"/>
              </w:rPr>
              <w:t>月底前</w:t>
            </w:r>
          </w:p>
        </w:tc>
        <w:tc>
          <w:tcPr>
            <w:tcW w:w="767" w:type="dxa"/>
            <w:vMerge w:val="continue"/>
            <w:tcBorders>
              <w:top w:val="single" w:color="auto" w:sz="8" w:space="0"/>
              <w:left w:val="single" w:color="auto" w:sz="4" w:space="0"/>
              <w:bottom w:val="single" w:color="auto" w:sz="4" w:space="0"/>
              <w:right w:val="single" w:color="auto" w:sz="4" w:space="0"/>
            </w:tcBorders>
            <w:noWrap w:val="0"/>
            <w:vAlign w:val="center"/>
          </w:tcPr>
          <w:p>
            <w:pPr>
              <w:widowControl/>
              <w:spacing w:line="200" w:lineRule="exact"/>
              <w:jc w:val="center"/>
              <w:outlineLvl w:val="9"/>
              <w:rPr>
                <w:rFonts w:ascii="宋体" w:hAnsi="宋体" w:cs="宋体"/>
                <w:color w:val="000000"/>
                <w:kern w:val="0"/>
                <w:sz w:val="16"/>
                <w:szCs w:val="28"/>
              </w:rPr>
            </w:pPr>
          </w:p>
        </w:tc>
        <w:tc>
          <w:tcPr>
            <w:tcW w:w="992" w:type="dxa"/>
            <w:vMerge w:val="continue"/>
            <w:tcBorders>
              <w:top w:val="single" w:color="auto" w:sz="8" w:space="0"/>
              <w:left w:val="nil"/>
              <w:bottom w:val="single" w:color="auto" w:sz="4" w:space="0"/>
              <w:right w:val="single" w:color="auto" w:sz="4" w:space="0"/>
            </w:tcBorders>
            <w:noWrap w:val="0"/>
            <w:vAlign w:val="center"/>
          </w:tcPr>
          <w:p>
            <w:pPr>
              <w:widowControl/>
              <w:spacing w:line="200" w:lineRule="exact"/>
              <w:jc w:val="center"/>
              <w:outlineLvl w:val="9"/>
              <w:rPr>
                <w:rFonts w:ascii="宋体" w:hAnsi="宋体" w:cs="宋体"/>
                <w:color w:val="000000"/>
                <w:kern w:val="0"/>
                <w:sz w:val="16"/>
                <w:szCs w:val="28"/>
              </w:rPr>
            </w:pPr>
          </w:p>
        </w:tc>
        <w:tc>
          <w:tcPr>
            <w:tcW w:w="781" w:type="dxa"/>
            <w:vMerge w:val="continue"/>
            <w:tcBorders>
              <w:top w:val="single" w:color="auto" w:sz="8" w:space="0"/>
              <w:left w:val="single" w:color="auto" w:sz="4" w:space="0"/>
              <w:bottom w:val="single" w:color="auto" w:sz="4" w:space="0"/>
              <w:right w:val="single" w:color="auto" w:sz="8" w:space="0"/>
            </w:tcBorders>
            <w:noWrap w:val="0"/>
            <w:vAlign w:val="center"/>
          </w:tcPr>
          <w:p>
            <w:pPr>
              <w:widowControl/>
              <w:spacing w:line="200" w:lineRule="exact"/>
              <w:jc w:val="center"/>
              <w:outlineLvl w:val="9"/>
              <w:rPr>
                <w:rFonts w:ascii="宋体" w:hAnsi="宋体" w:cs="宋体"/>
                <w:color w:val="000000"/>
                <w:kern w:val="0"/>
                <w:sz w:val="16"/>
                <w:szCs w:val="28"/>
              </w:rPr>
            </w:pPr>
          </w:p>
        </w:tc>
      </w:tr>
      <w:tr>
        <w:tblPrEx>
          <w:tblCellMar>
            <w:top w:w="0" w:type="dxa"/>
            <w:left w:w="108" w:type="dxa"/>
            <w:bottom w:w="0" w:type="dxa"/>
            <w:right w:w="108" w:type="dxa"/>
          </w:tblCellMar>
        </w:tblPrEx>
        <w:trPr>
          <w:trHeight w:val="468" w:hRule="atLeast"/>
          <w:jc w:val="center"/>
        </w:trPr>
        <w:tc>
          <w:tcPr>
            <w:tcW w:w="568" w:type="dxa"/>
            <w:vMerge w:val="continue"/>
            <w:tcBorders>
              <w:top w:val="single" w:color="auto" w:sz="8" w:space="0"/>
              <w:left w:val="single" w:color="auto" w:sz="8" w:space="0"/>
              <w:bottom w:val="single" w:color="auto" w:sz="4" w:space="0"/>
              <w:right w:val="nil"/>
            </w:tcBorders>
            <w:noWrap w:val="0"/>
            <w:vAlign w:val="center"/>
          </w:tcPr>
          <w:p>
            <w:pPr>
              <w:widowControl/>
              <w:spacing w:line="200" w:lineRule="exact"/>
              <w:jc w:val="center"/>
              <w:outlineLvl w:val="9"/>
              <w:rPr>
                <w:rFonts w:ascii="宋体" w:hAnsi="宋体" w:cs="宋体"/>
                <w:color w:val="000000"/>
                <w:kern w:val="0"/>
                <w:sz w:val="16"/>
                <w:szCs w:val="28"/>
              </w:rPr>
            </w:pPr>
          </w:p>
        </w:tc>
        <w:tc>
          <w:tcPr>
            <w:tcW w:w="912" w:type="dxa"/>
            <w:vMerge w:val="continue"/>
            <w:tcBorders>
              <w:top w:val="single" w:color="auto" w:sz="8" w:space="0"/>
              <w:left w:val="single" w:color="auto" w:sz="8" w:space="0"/>
              <w:bottom w:val="single" w:color="auto" w:sz="4" w:space="0"/>
              <w:right w:val="single" w:color="auto" w:sz="8" w:space="0"/>
            </w:tcBorders>
            <w:noWrap w:val="0"/>
            <w:vAlign w:val="center"/>
          </w:tcPr>
          <w:p>
            <w:pPr>
              <w:widowControl/>
              <w:spacing w:line="200" w:lineRule="exact"/>
              <w:jc w:val="center"/>
              <w:outlineLvl w:val="9"/>
              <w:rPr>
                <w:rFonts w:ascii="宋体" w:hAnsi="宋体" w:cs="宋体"/>
                <w:color w:val="000000"/>
                <w:kern w:val="0"/>
                <w:sz w:val="16"/>
                <w:szCs w:val="28"/>
              </w:rPr>
            </w:pPr>
          </w:p>
        </w:tc>
        <w:tc>
          <w:tcPr>
            <w:tcW w:w="4186" w:type="dxa"/>
            <w:tcBorders>
              <w:top w:val="nil"/>
              <w:left w:val="nil"/>
              <w:bottom w:val="single" w:color="auto" w:sz="4" w:space="0"/>
              <w:right w:val="nil"/>
            </w:tcBorders>
            <w:noWrap w:val="0"/>
            <w:vAlign w:val="center"/>
          </w:tcPr>
          <w:p>
            <w:pPr>
              <w:widowControl/>
              <w:spacing w:line="200" w:lineRule="exact"/>
              <w:jc w:val="left"/>
              <w:outlineLvl w:val="9"/>
              <w:rPr>
                <w:rFonts w:ascii="宋体" w:hAnsi="宋体" w:cs="宋体"/>
                <w:color w:val="000000"/>
                <w:kern w:val="0"/>
                <w:sz w:val="16"/>
                <w:szCs w:val="28"/>
              </w:rPr>
            </w:pPr>
            <w:r>
              <w:rPr>
                <w:rFonts w:hint="eastAsia" w:ascii="宋体" w:hAnsi="宋体" w:cs="宋体"/>
                <w:color w:val="000000"/>
                <w:kern w:val="0"/>
                <w:sz w:val="16"/>
                <w:szCs w:val="28"/>
              </w:rPr>
              <w:t>强化本地企业与乡村</w:t>
            </w:r>
            <w:r>
              <w:rPr>
                <w:rFonts w:ascii="宋体" w:hAnsi="宋体" w:cs="宋体"/>
                <w:color w:val="000000"/>
                <w:kern w:val="0"/>
                <w:sz w:val="16"/>
                <w:szCs w:val="28"/>
              </w:rPr>
              <w:t>e</w:t>
            </w:r>
            <w:r>
              <w:rPr>
                <w:rFonts w:hint="eastAsia" w:ascii="宋体" w:hAnsi="宋体" w:cs="宋体"/>
                <w:color w:val="000000"/>
                <w:kern w:val="0"/>
                <w:sz w:val="16"/>
                <w:szCs w:val="28"/>
              </w:rPr>
              <w:t>镇内跨境电商平台和龙头企业对接合作，开展对外贸易</w:t>
            </w:r>
          </w:p>
        </w:tc>
        <w:tc>
          <w:tcPr>
            <w:tcW w:w="1459" w:type="dxa"/>
            <w:tcBorders>
              <w:top w:val="nil"/>
              <w:left w:val="single" w:color="auto" w:sz="8" w:space="0"/>
              <w:bottom w:val="single" w:color="auto" w:sz="4" w:space="0"/>
              <w:right w:val="single" w:color="auto" w:sz="8" w:space="0"/>
            </w:tcBorders>
            <w:noWrap/>
            <w:vAlign w:val="center"/>
          </w:tcPr>
          <w:p>
            <w:pPr>
              <w:widowControl/>
              <w:spacing w:line="200" w:lineRule="exact"/>
              <w:ind w:left="0" w:leftChars="0" w:firstLine="0" w:firstLineChars="0"/>
              <w:jc w:val="both"/>
              <w:outlineLvl w:val="9"/>
              <w:rPr>
                <w:rFonts w:ascii="宋体" w:hAnsi="宋体" w:cs="宋体"/>
                <w:color w:val="000000"/>
                <w:kern w:val="0"/>
                <w:sz w:val="16"/>
                <w:szCs w:val="28"/>
              </w:rPr>
            </w:pPr>
            <w:r>
              <w:rPr>
                <w:rFonts w:ascii="宋体" w:hAnsi="宋体" w:cs="宋体"/>
                <w:color w:val="000000"/>
                <w:kern w:val="0"/>
                <w:sz w:val="16"/>
                <w:szCs w:val="28"/>
              </w:rPr>
              <w:t>2023</w:t>
            </w:r>
            <w:r>
              <w:rPr>
                <w:rFonts w:hint="eastAsia" w:ascii="宋体" w:hAnsi="宋体" w:cs="宋体"/>
                <w:color w:val="000000"/>
                <w:kern w:val="0"/>
                <w:sz w:val="16"/>
                <w:szCs w:val="28"/>
              </w:rPr>
              <w:t>年</w:t>
            </w:r>
            <w:r>
              <w:rPr>
                <w:rFonts w:ascii="宋体" w:hAnsi="宋体" w:cs="宋体"/>
                <w:color w:val="000000"/>
                <w:kern w:val="0"/>
                <w:sz w:val="16"/>
                <w:szCs w:val="28"/>
              </w:rPr>
              <w:t>11</w:t>
            </w:r>
            <w:r>
              <w:rPr>
                <w:rFonts w:hint="eastAsia" w:ascii="宋体" w:hAnsi="宋体" w:cs="宋体"/>
                <w:color w:val="000000"/>
                <w:kern w:val="0"/>
                <w:sz w:val="16"/>
                <w:szCs w:val="28"/>
              </w:rPr>
              <w:t>月底前</w:t>
            </w:r>
          </w:p>
        </w:tc>
        <w:tc>
          <w:tcPr>
            <w:tcW w:w="767" w:type="dxa"/>
            <w:vMerge w:val="continue"/>
            <w:tcBorders>
              <w:top w:val="single" w:color="auto" w:sz="8" w:space="0"/>
              <w:left w:val="single" w:color="auto" w:sz="4" w:space="0"/>
              <w:bottom w:val="single" w:color="auto" w:sz="4" w:space="0"/>
              <w:right w:val="single" w:color="auto" w:sz="4" w:space="0"/>
            </w:tcBorders>
            <w:noWrap w:val="0"/>
            <w:vAlign w:val="center"/>
          </w:tcPr>
          <w:p>
            <w:pPr>
              <w:widowControl/>
              <w:spacing w:line="200" w:lineRule="exact"/>
              <w:jc w:val="center"/>
              <w:outlineLvl w:val="9"/>
              <w:rPr>
                <w:rFonts w:ascii="宋体" w:hAnsi="宋体" w:cs="宋体"/>
                <w:color w:val="000000"/>
                <w:kern w:val="0"/>
                <w:sz w:val="16"/>
                <w:szCs w:val="28"/>
              </w:rPr>
            </w:pPr>
          </w:p>
        </w:tc>
        <w:tc>
          <w:tcPr>
            <w:tcW w:w="992" w:type="dxa"/>
            <w:vMerge w:val="continue"/>
            <w:tcBorders>
              <w:top w:val="single" w:color="auto" w:sz="8" w:space="0"/>
              <w:left w:val="nil"/>
              <w:bottom w:val="single" w:color="auto" w:sz="4" w:space="0"/>
              <w:right w:val="single" w:color="auto" w:sz="4" w:space="0"/>
            </w:tcBorders>
            <w:noWrap w:val="0"/>
            <w:vAlign w:val="center"/>
          </w:tcPr>
          <w:p>
            <w:pPr>
              <w:widowControl/>
              <w:spacing w:line="200" w:lineRule="exact"/>
              <w:jc w:val="center"/>
              <w:outlineLvl w:val="9"/>
              <w:rPr>
                <w:rFonts w:ascii="宋体" w:hAnsi="宋体" w:cs="宋体"/>
                <w:color w:val="000000"/>
                <w:kern w:val="0"/>
                <w:sz w:val="16"/>
                <w:szCs w:val="28"/>
              </w:rPr>
            </w:pPr>
          </w:p>
        </w:tc>
        <w:tc>
          <w:tcPr>
            <w:tcW w:w="781" w:type="dxa"/>
            <w:vMerge w:val="continue"/>
            <w:tcBorders>
              <w:top w:val="single" w:color="auto" w:sz="8" w:space="0"/>
              <w:left w:val="single" w:color="auto" w:sz="4" w:space="0"/>
              <w:bottom w:val="single" w:color="auto" w:sz="4" w:space="0"/>
              <w:right w:val="single" w:color="auto" w:sz="8" w:space="0"/>
            </w:tcBorders>
            <w:noWrap w:val="0"/>
            <w:vAlign w:val="center"/>
          </w:tcPr>
          <w:p>
            <w:pPr>
              <w:widowControl/>
              <w:spacing w:line="200" w:lineRule="exact"/>
              <w:jc w:val="center"/>
              <w:outlineLvl w:val="9"/>
              <w:rPr>
                <w:rFonts w:ascii="宋体" w:hAnsi="宋体" w:cs="宋体"/>
                <w:color w:val="000000"/>
                <w:kern w:val="0"/>
                <w:sz w:val="16"/>
                <w:szCs w:val="28"/>
              </w:rPr>
            </w:pPr>
          </w:p>
        </w:tc>
      </w:tr>
      <w:tr>
        <w:tblPrEx>
          <w:tblCellMar>
            <w:top w:w="0" w:type="dxa"/>
            <w:left w:w="108" w:type="dxa"/>
            <w:bottom w:w="0" w:type="dxa"/>
            <w:right w:w="108" w:type="dxa"/>
          </w:tblCellMar>
        </w:tblPrEx>
        <w:trPr>
          <w:trHeight w:val="298" w:hRule="atLeast"/>
          <w:jc w:val="center"/>
        </w:trPr>
        <w:tc>
          <w:tcPr>
            <w:tcW w:w="568" w:type="dxa"/>
            <w:vMerge w:val="continue"/>
            <w:tcBorders>
              <w:top w:val="single" w:color="auto" w:sz="8" w:space="0"/>
              <w:left w:val="single" w:color="auto" w:sz="8" w:space="0"/>
              <w:bottom w:val="single" w:color="auto" w:sz="4" w:space="0"/>
              <w:right w:val="nil"/>
            </w:tcBorders>
            <w:noWrap w:val="0"/>
            <w:vAlign w:val="center"/>
          </w:tcPr>
          <w:p>
            <w:pPr>
              <w:widowControl/>
              <w:spacing w:line="200" w:lineRule="exact"/>
              <w:jc w:val="center"/>
              <w:outlineLvl w:val="9"/>
              <w:rPr>
                <w:rFonts w:ascii="宋体" w:hAnsi="宋体" w:cs="宋体"/>
                <w:color w:val="000000"/>
                <w:kern w:val="0"/>
                <w:sz w:val="16"/>
                <w:szCs w:val="28"/>
              </w:rPr>
            </w:pPr>
          </w:p>
        </w:tc>
        <w:tc>
          <w:tcPr>
            <w:tcW w:w="912" w:type="dxa"/>
            <w:vMerge w:val="continue"/>
            <w:tcBorders>
              <w:top w:val="single" w:color="auto" w:sz="8" w:space="0"/>
              <w:left w:val="single" w:color="auto" w:sz="8" w:space="0"/>
              <w:bottom w:val="single" w:color="auto" w:sz="4" w:space="0"/>
              <w:right w:val="single" w:color="auto" w:sz="8" w:space="0"/>
            </w:tcBorders>
            <w:noWrap w:val="0"/>
            <w:vAlign w:val="center"/>
          </w:tcPr>
          <w:p>
            <w:pPr>
              <w:widowControl/>
              <w:spacing w:line="200" w:lineRule="exact"/>
              <w:jc w:val="center"/>
              <w:outlineLvl w:val="9"/>
              <w:rPr>
                <w:rFonts w:ascii="宋体" w:hAnsi="宋体" w:cs="宋体"/>
                <w:color w:val="000000"/>
                <w:kern w:val="0"/>
                <w:sz w:val="16"/>
                <w:szCs w:val="28"/>
              </w:rPr>
            </w:pPr>
          </w:p>
        </w:tc>
        <w:tc>
          <w:tcPr>
            <w:tcW w:w="4186" w:type="dxa"/>
            <w:tcBorders>
              <w:top w:val="nil"/>
              <w:left w:val="nil"/>
              <w:bottom w:val="single" w:color="auto" w:sz="4" w:space="0"/>
              <w:right w:val="nil"/>
            </w:tcBorders>
            <w:noWrap w:val="0"/>
            <w:vAlign w:val="center"/>
          </w:tcPr>
          <w:p>
            <w:pPr>
              <w:widowControl/>
              <w:spacing w:line="200" w:lineRule="exact"/>
              <w:jc w:val="left"/>
              <w:outlineLvl w:val="9"/>
              <w:rPr>
                <w:rFonts w:ascii="宋体" w:hAnsi="宋体" w:cs="宋体"/>
                <w:kern w:val="0"/>
                <w:sz w:val="16"/>
                <w:szCs w:val="28"/>
              </w:rPr>
            </w:pPr>
            <w:r>
              <w:rPr>
                <w:rFonts w:hint="eastAsia" w:ascii="宋体" w:hAnsi="宋体" w:cs="宋体"/>
                <w:kern w:val="0"/>
                <w:sz w:val="16"/>
                <w:szCs w:val="28"/>
              </w:rPr>
              <w:t>每年开展不少于</w:t>
            </w:r>
            <w:r>
              <w:rPr>
                <w:rFonts w:ascii="宋体" w:hAnsi="宋体" w:cs="宋体"/>
                <w:kern w:val="0"/>
                <w:sz w:val="16"/>
                <w:szCs w:val="28"/>
              </w:rPr>
              <w:t>2</w:t>
            </w:r>
            <w:r>
              <w:rPr>
                <w:rFonts w:hint="eastAsia" w:ascii="宋体" w:hAnsi="宋体" w:cs="宋体"/>
                <w:kern w:val="0"/>
                <w:sz w:val="16"/>
                <w:szCs w:val="28"/>
              </w:rPr>
              <w:t>次以上有关“乡村</w:t>
            </w:r>
            <w:r>
              <w:rPr>
                <w:rFonts w:ascii="宋体" w:hAnsi="宋体" w:cs="宋体"/>
                <w:kern w:val="0"/>
                <w:sz w:val="16"/>
                <w:szCs w:val="28"/>
              </w:rPr>
              <w:t>e</w:t>
            </w:r>
            <w:r>
              <w:rPr>
                <w:rFonts w:hint="eastAsia" w:ascii="宋体" w:hAnsi="宋体" w:cs="宋体"/>
                <w:kern w:val="0"/>
                <w:sz w:val="16"/>
                <w:szCs w:val="28"/>
              </w:rPr>
              <w:t>镇”内容的宣传活动</w:t>
            </w:r>
          </w:p>
        </w:tc>
        <w:tc>
          <w:tcPr>
            <w:tcW w:w="1459" w:type="dxa"/>
            <w:tcBorders>
              <w:top w:val="nil"/>
              <w:left w:val="single" w:color="auto" w:sz="8" w:space="0"/>
              <w:bottom w:val="single" w:color="auto" w:sz="4" w:space="0"/>
              <w:right w:val="single" w:color="auto" w:sz="8" w:space="0"/>
            </w:tcBorders>
            <w:noWrap/>
            <w:vAlign w:val="center"/>
          </w:tcPr>
          <w:p>
            <w:pPr>
              <w:widowControl/>
              <w:spacing w:line="200" w:lineRule="exact"/>
              <w:ind w:left="0" w:leftChars="0" w:firstLine="0" w:firstLineChars="0"/>
              <w:jc w:val="both"/>
              <w:outlineLvl w:val="9"/>
              <w:rPr>
                <w:rFonts w:ascii="宋体" w:hAnsi="宋体" w:cs="宋体"/>
                <w:color w:val="000000"/>
                <w:kern w:val="0"/>
                <w:sz w:val="16"/>
                <w:szCs w:val="28"/>
              </w:rPr>
            </w:pPr>
            <w:r>
              <w:rPr>
                <w:rFonts w:ascii="宋体" w:hAnsi="宋体" w:cs="宋体"/>
                <w:color w:val="000000"/>
                <w:kern w:val="0"/>
                <w:sz w:val="16"/>
                <w:szCs w:val="28"/>
              </w:rPr>
              <w:t>2023</w:t>
            </w:r>
            <w:r>
              <w:rPr>
                <w:rFonts w:hint="eastAsia" w:ascii="宋体" w:hAnsi="宋体" w:cs="宋体"/>
                <w:color w:val="000000"/>
                <w:kern w:val="0"/>
                <w:sz w:val="16"/>
                <w:szCs w:val="28"/>
              </w:rPr>
              <w:t>年</w:t>
            </w:r>
            <w:r>
              <w:rPr>
                <w:rFonts w:ascii="宋体" w:hAnsi="宋体" w:cs="宋体"/>
                <w:color w:val="000000"/>
                <w:kern w:val="0"/>
                <w:sz w:val="16"/>
                <w:szCs w:val="28"/>
              </w:rPr>
              <w:t>11</w:t>
            </w:r>
            <w:r>
              <w:rPr>
                <w:rFonts w:hint="eastAsia" w:ascii="宋体" w:hAnsi="宋体" w:cs="宋体"/>
                <w:color w:val="000000"/>
                <w:kern w:val="0"/>
                <w:sz w:val="16"/>
                <w:szCs w:val="28"/>
              </w:rPr>
              <w:t>月底前</w:t>
            </w:r>
          </w:p>
        </w:tc>
        <w:tc>
          <w:tcPr>
            <w:tcW w:w="767" w:type="dxa"/>
            <w:vMerge w:val="continue"/>
            <w:tcBorders>
              <w:top w:val="single" w:color="auto" w:sz="8" w:space="0"/>
              <w:left w:val="single" w:color="auto" w:sz="4" w:space="0"/>
              <w:bottom w:val="single" w:color="auto" w:sz="4" w:space="0"/>
              <w:right w:val="single" w:color="auto" w:sz="4" w:space="0"/>
            </w:tcBorders>
            <w:noWrap w:val="0"/>
            <w:vAlign w:val="center"/>
          </w:tcPr>
          <w:p>
            <w:pPr>
              <w:widowControl/>
              <w:spacing w:line="200" w:lineRule="exact"/>
              <w:jc w:val="center"/>
              <w:outlineLvl w:val="9"/>
              <w:rPr>
                <w:rFonts w:ascii="宋体" w:hAnsi="宋体" w:cs="宋体"/>
                <w:color w:val="000000"/>
                <w:kern w:val="0"/>
                <w:sz w:val="16"/>
                <w:szCs w:val="28"/>
              </w:rPr>
            </w:pPr>
          </w:p>
        </w:tc>
        <w:tc>
          <w:tcPr>
            <w:tcW w:w="992" w:type="dxa"/>
            <w:vMerge w:val="continue"/>
            <w:tcBorders>
              <w:top w:val="single" w:color="auto" w:sz="8" w:space="0"/>
              <w:left w:val="nil"/>
              <w:bottom w:val="single" w:color="auto" w:sz="4" w:space="0"/>
              <w:right w:val="single" w:color="auto" w:sz="4" w:space="0"/>
            </w:tcBorders>
            <w:noWrap w:val="0"/>
            <w:vAlign w:val="center"/>
          </w:tcPr>
          <w:p>
            <w:pPr>
              <w:widowControl/>
              <w:spacing w:line="200" w:lineRule="exact"/>
              <w:jc w:val="center"/>
              <w:outlineLvl w:val="9"/>
              <w:rPr>
                <w:rFonts w:ascii="宋体" w:hAnsi="宋体" w:cs="宋体"/>
                <w:color w:val="000000"/>
                <w:kern w:val="0"/>
                <w:sz w:val="16"/>
                <w:szCs w:val="28"/>
              </w:rPr>
            </w:pPr>
          </w:p>
        </w:tc>
        <w:tc>
          <w:tcPr>
            <w:tcW w:w="781" w:type="dxa"/>
            <w:vMerge w:val="continue"/>
            <w:tcBorders>
              <w:top w:val="single" w:color="auto" w:sz="8" w:space="0"/>
              <w:left w:val="single" w:color="auto" w:sz="4" w:space="0"/>
              <w:bottom w:val="single" w:color="auto" w:sz="4" w:space="0"/>
              <w:right w:val="single" w:color="auto" w:sz="8" w:space="0"/>
            </w:tcBorders>
            <w:noWrap w:val="0"/>
            <w:vAlign w:val="center"/>
          </w:tcPr>
          <w:p>
            <w:pPr>
              <w:widowControl/>
              <w:spacing w:line="200" w:lineRule="exact"/>
              <w:jc w:val="center"/>
              <w:outlineLvl w:val="9"/>
              <w:rPr>
                <w:rFonts w:ascii="宋体" w:hAnsi="宋体" w:cs="宋体"/>
                <w:color w:val="000000"/>
                <w:kern w:val="0"/>
                <w:sz w:val="16"/>
                <w:szCs w:val="28"/>
              </w:rPr>
            </w:pPr>
          </w:p>
        </w:tc>
      </w:tr>
      <w:tr>
        <w:tblPrEx>
          <w:tblCellMar>
            <w:top w:w="0" w:type="dxa"/>
            <w:left w:w="108" w:type="dxa"/>
            <w:bottom w:w="0" w:type="dxa"/>
            <w:right w:w="108" w:type="dxa"/>
          </w:tblCellMar>
        </w:tblPrEx>
        <w:trPr>
          <w:trHeight w:val="318" w:hRule="atLeast"/>
          <w:jc w:val="center"/>
        </w:trPr>
        <w:tc>
          <w:tcPr>
            <w:tcW w:w="568" w:type="dxa"/>
            <w:vMerge w:val="continue"/>
            <w:tcBorders>
              <w:top w:val="single" w:color="auto" w:sz="8" w:space="0"/>
              <w:left w:val="single" w:color="auto" w:sz="8" w:space="0"/>
              <w:bottom w:val="single" w:color="auto" w:sz="4" w:space="0"/>
              <w:right w:val="nil"/>
            </w:tcBorders>
            <w:noWrap w:val="0"/>
            <w:vAlign w:val="center"/>
          </w:tcPr>
          <w:p>
            <w:pPr>
              <w:widowControl/>
              <w:spacing w:line="200" w:lineRule="exact"/>
              <w:jc w:val="center"/>
              <w:outlineLvl w:val="9"/>
              <w:rPr>
                <w:rFonts w:ascii="宋体" w:hAnsi="宋体" w:cs="宋体"/>
                <w:color w:val="000000"/>
                <w:kern w:val="0"/>
                <w:sz w:val="16"/>
                <w:szCs w:val="28"/>
              </w:rPr>
            </w:pPr>
          </w:p>
        </w:tc>
        <w:tc>
          <w:tcPr>
            <w:tcW w:w="912" w:type="dxa"/>
            <w:vMerge w:val="continue"/>
            <w:tcBorders>
              <w:top w:val="single" w:color="auto" w:sz="8" w:space="0"/>
              <w:left w:val="single" w:color="auto" w:sz="8" w:space="0"/>
              <w:bottom w:val="single" w:color="auto" w:sz="4" w:space="0"/>
              <w:right w:val="single" w:color="auto" w:sz="8" w:space="0"/>
            </w:tcBorders>
            <w:noWrap w:val="0"/>
            <w:vAlign w:val="center"/>
          </w:tcPr>
          <w:p>
            <w:pPr>
              <w:widowControl/>
              <w:spacing w:line="200" w:lineRule="exact"/>
              <w:jc w:val="center"/>
              <w:outlineLvl w:val="9"/>
              <w:rPr>
                <w:rFonts w:ascii="宋体" w:hAnsi="宋体" w:cs="宋体"/>
                <w:color w:val="000000"/>
                <w:kern w:val="0"/>
                <w:sz w:val="16"/>
                <w:szCs w:val="28"/>
              </w:rPr>
            </w:pPr>
          </w:p>
        </w:tc>
        <w:tc>
          <w:tcPr>
            <w:tcW w:w="4186" w:type="dxa"/>
            <w:tcBorders>
              <w:top w:val="nil"/>
              <w:left w:val="nil"/>
              <w:bottom w:val="nil"/>
              <w:right w:val="nil"/>
            </w:tcBorders>
            <w:noWrap w:val="0"/>
            <w:vAlign w:val="center"/>
          </w:tcPr>
          <w:p>
            <w:pPr>
              <w:widowControl/>
              <w:spacing w:line="200" w:lineRule="exact"/>
              <w:jc w:val="left"/>
              <w:outlineLvl w:val="9"/>
              <w:rPr>
                <w:rFonts w:ascii="宋体" w:hAnsi="宋体" w:cs="宋体"/>
                <w:kern w:val="0"/>
                <w:sz w:val="16"/>
                <w:szCs w:val="28"/>
              </w:rPr>
            </w:pPr>
            <w:r>
              <w:rPr>
                <w:rFonts w:hint="eastAsia" w:ascii="宋体" w:hAnsi="宋体" w:cs="宋体"/>
                <w:kern w:val="0"/>
                <w:sz w:val="16"/>
                <w:szCs w:val="28"/>
              </w:rPr>
              <w:t>注册和引进乡村</w:t>
            </w:r>
            <w:r>
              <w:rPr>
                <w:rFonts w:ascii="宋体" w:hAnsi="宋体" w:cs="宋体"/>
                <w:kern w:val="0"/>
                <w:sz w:val="16"/>
                <w:szCs w:val="28"/>
              </w:rPr>
              <w:t>e</w:t>
            </w:r>
            <w:r>
              <w:rPr>
                <w:rFonts w:hint="eastAsia" w:ascii="宋体" w:hAnsi="宋体" w:cs="宋体"/>
                <w:kern w:val="0"/>
                <w:sz w:val="16"/>
                <w:szCs w:val="28"/>
              </w:rPr>
              <w:t>镇的企业业绩突出奖励</w:t>
            </w:r>
          </w:p>
        </w:tc>
        <w:tc>
          <w:tcPr>
            <w:tcW w:w="1459" w:type="dxa"/>
            <w:tcBorders>
              <w:top w:val="nil"/>
              <w:left w:val="single" w:color="auto" w:sz="8" w:space="0"/>
              <w:bottom w:val="nil"/>
              <w:right w:val="single" w:color="auto" w:sz="8" w:space="0"/>
            </w:tcBorders>
            <w:noWrap/>
            <w:vAlign w:val="center"/>
          </w:tcPr>
          <w:p>
            <w:pPr>
              <w:widowControl/>
              <w:spacing w:line="200" w:lineRule="exact"/>
              <w:ind w:left="0" w:leftChars="0" w:firstLine="0" w:firstLineChars="0"/>
              <w:jc w:val="both"/>
              <w:outlineLvl w:val="9"/>
              <w:rPr>
                <w:rFonts w:ascii="宋体" w:hAnsi="宋体" w:cs="宋体"/>
                <w:color w:val="000000"/>
                <w:kern w:val="0"/>
                <w:sz w:val="16"/>
                <w:szCs w:val="28"/>
              </w:rPr>
            </w:pPr>
            <w:r>
              <w:rPr>
                <w:rFonts w:ascii="宋体" w:hAnsi="宋体" w:cs="宋体"/>
                <w:color w:val="000000"/>
                <w:kern w:val="0"/>
                <w:sz w:val="16"/>
                <w:szCs w:val="28"/>
              </w:rPr>
              <w:t>2023</w:t>
            </w:r>
            <w:r>
              <w:rPr>
                <w:rFonts w:hint="eastAsia" w:ascii="宋体" w:hAnsi="宋体" w:cs="宋体"/>
                <w:color w:val="000000"/>
                <w:kern w:val="0"/>
                <w:sz w:val="16"/>
                <w:szCs w:val="28"/>
              </w:rPr>
              <w:t>年</w:t>
            </w:r>
            <w:r>
              <w:rPr>
                <w:rFonts w:ascii="宋体" w:hAnsi="宋体" w:cs="宋体"/>
                <w:color w:val="000000"/>
                <w:kern w:val="0"/>
                <w:sz w:val="16"/>
                <w:szCs w:val="28"/>
              </w:rPr>
              <w:t>11</w:t>
            </w:r>
            <w:r>
              <w:rPr>
                <w:rFonts w:hint="eastAsia" w:ascii="宋体" w:hAnsi="宋体" w:cs="宋体"/>
                <w:color w:val="000000"/>
                <w:kern w:val="0"/>
                <w:sz w:val="16"/>
                <w:szCs w:val="28"/>
              </w:rPr>
              <w:t>月底前</w:t>
            </w:r>
          </w:p>
        </w:tc>
        <w:tc>
          <w:tcPr>
            <w:tcW w:w="767" w:type="dxa"/>
            <w:vMerge w:val="continue"/>
            <w:tcBorders>
              <w:top w:val="single" w:color="auto" w:sz="8" w:space="0"/>
              <w:left w:val="single" w:color="auto" w:sz="4" w:space="0"/>
              <w:bottom w:val="single" w:color="auto" w:sz="4" w:space="0"/>
              <w:right w:val="single" w:color="auto" w:sz="4" w:space="0"/>
            </w:tcBorders>
            <w:noWrap w:val="0"/>
            <w:vAlign w:val="center"/>
          </w:tcPr>
          <w:p>
            <w:pPr>
              <w:widowControl/>
              <w:spacing w:line="200" w:lineRule="exact"/>
              <w:jc w:val="center"/>
              <w:outlineLvl w:val="9"/>
              <w:rPr>
                <w:rFonts w:ascii="宋体" w:hAnsi="宋体" w:cs="宋体"/>
                <w:color w:val="000000"/>
                <w:kern w:val="0"/>
                <w:sz w:val="16"/>
                <w:szCs w:val="28"/>
              </w:rPr>
            </w:pPr>
          </w:p>
        </w:tc>
        <w:tc>
          <w:tcPr>
            <w:tcW w:w="992" w:type="dxa"/>
            <w:vMerge w:val="continue"/>
            <w:tcBorders>
              <w:top w:val="single" w:color="auto" w:sz="8" w:space="0"/>
              <w:left w:val="nil"/>
              <w:bottom w:val="single" w:color="auto" w:sz="4" w:space="0"/>
              <w:right w:val="single" w:color="auto" w:sz="4" w:space="0"/>
            </w:tcBorders>
            <w:noWrap w:val="0"/>
            <w:vAlign w:val="center"/>
          </w:tcPr>
          <w:p>
            <w:pPr>
              <w:widowControl/>
              <w:spacing w:line="200" w:lineRule="exact"/>
              <w:jc w:val="center"/>
              <w:outlineLvl w:val="9"/>
              <w:rPr>
                <w:rFonts w:ascii="宋体" w:hAnsi="宋体" w:cs="宋体"/>
                <w:color w:val="000000"/>
                <w:kern w:val="0"/>
                <w:sz w:val="16"/>
                <w:szCs w:val="28"/>
              </w:rPr>
            </w:pPr>
          </w:p>
        </w:tc>
        <w:tc>
          <w:tcPr>
            <w:tcW w:w="781" w:type="dxa"/>
            <w:vMerge w:val="continue"/>
            <w:tcBorders>
              <w:top w:val="single" w:color="auto" w:sz="8" w:space="0"/>
              <w:left w:val="single" w:color="auto" w:sz="4" w:space="0"/>
              <w:bottom w:val="single" w:color="auto" w:sz="4" w:space="0"/>
              <w:right w:val="single" w:color="auto" w:sz="8" w:space="0"/>
            </w:tcBorders>
            <w:noWrap w:val="0"/>
            <w:vAlign w:val="center"/>
          </w:tcPr>
          <w:p>
            <w:pPr>
              <w:widowControl/>
              <w:spacing w:line="200" w:lineRule="exact"/>
              <w:jc w:val="center"/>
              <w:outlineLvl w:val="9"/>
              <w:rPr>
                <w:rFonts w:ascii="宋体" w:hAnsi="宋体" w:cs="宋体"/>
                <w:color w:val="000000"/>
                <w:kern w:val="0"/>
                <w:sz w:val="16"/>
                <w:szCs w:val="28"/>
              </w:rPr>
            </w:pPr>
          </w:p>
        </w:tc>
      </w:tr>
      <w:tr>
        <w:tblPrEx>
          <w:tblCellMar>
            <w:top w:w="0" w:type="dxa"/>
            <w:left w:w="108" w:type="dxa"/>
            <w:bottom w:w="0" w:type="dxa"/>
            <w:right w:w="108" w:type="dxa"/>
          </w:tblCellMar>
        </w:tblPrEx>
        <w:trPr>
          <w:trHeight w:val="663" w:hRule="atLeast"/>
          <w:jc w:val="center"/>
        </w:trPr>
        <w:tc>
          <w:tcPr>
            <w:tcW w:w="568" w:type="dxa"/>
            <w:vMerge w:val="restart"/>
            <w:tcBorders>
              <w:top w:val="single" w:color="auto" w:sz="8" w:space="0"/>
              <w:left w:val="single" w:color="auto" w:sz="8" w:space="0"/>
              <w:bottom w:val="single" w:color="auto" w:sz="4" w:space="0"/>
              <w:right w:val="nil"/>
            </w:tcBorders>
            <w:noWrap/>
            <w:vAlign w:val="center"/>
          </w:tcPr>
          <w:p>
            <w:pPr>
              <w:widowControl/>
              <w:spacing w:line="200" w:lineRule="exact"/>
              <w:ind w:left="0" w:leftChars="0" w:firstLine="0" w:firstLineChars="0"/>
              <w:jc w:val="center"/>
              <w:outlineLvl w:val="9"/>
              <w:rPr>
                <w:rFonts w:ascii="宋体" w:hAnsi="宋体" w:cs="宋体"/>
                <w:color w:val="000000"/>
                <w:kern w:val="0"/>
                <w:sz w:val="16"/>
                <w:szCs w:val="28"/>
              </w:rPr>
            </w:pPr>
            <w:r>
              <w:rPr>
                <w:rFonts w:ascii="宋体" w:hAnsi="宋体" w:cs="宋体"/>
                <w:color w:val="000000"/>
                <w:kern w:val="0"/>
                <w:sz w:val="16"/>
                <w:szCs w:val="28"/>
              </w:rPr>
              <w:t>3</w:t>
            </w:r>
          </w:p>
        </w:tc>
        <w:tc>
          <w:tcPr>
            <w:tcW w:w="912" w:type="dxa"/>
            <w:vMerge w:val="restart"/>
            <w:tcBorders>
              <w:top w:val="single" w:color="auto" w:sz="8" w:space="0"/>
              <w:left w:val="single" w:color="auto" w:sz="8" w:space="0"/>
              <w:bottom w:val="single" w:color="auto" w:sz="4" w:space="0"/>
              <w:right w:val="single" w:color="auto" w:sz="8" w:space="0"/>
            </w:tcBorders>
            <w:noWrap w:val="0"/>
            <w:vAlign w:val="center"/>
          </w:tcPr>
          <w:p>
            <w:pPr>
              <w:widowControl/>
              <w:spacing w:line="200" w:lineRule="exact"/>
              <w:ind w:left="0" w:leftChars="0" w:firstLine="0" w:firstLineChars="0"/>
              <w:jc w:val="center"/>
              <w:outlineLvl w:val="9"/>
              <w:rPr>
                <w:rFonts w:ascii="宋体" w:hAnsi="宋体" w:cs="宋体"/>
                <w:color w:val="000000"/>
                <w:kern w:val="0"/>
                <w:sz w:val="16"/>
                <w:szCs w:val="28"/>
              </w:rPr>
            </w:pPr>
            <w:r>
              <w:rPr>
                <w:rFonts w:hint="eastAsia" w:ascii="宋体" w:hAnsi="宋体" w:cs="宋体"/>
                <w:color w:val="000000"/>
                <w:kern w:val="0"/>
                <w:sz w:val="16"/>
                <w:szCs w:val="28"/>
              </w:rPr>
              <w:t>乡村</w:t>
            </w:r>
            <w:r>
              <w:rPr>
                <w:rFonts w:ascii="宋体" w:hAnsi="宋体" w:cs="宋体"/>
                <w:color w:val="000000"/>
                <w:kern w:val="0"/>
                <w:sz w:val="16"/>
                <w:szCs w:val="28"/>
              </w:rPr>
              <w:t>e</w:t>
            </w:r>
            <w:r>
              <w:rPr>
                <w:rFonts w:hint="eastAsia" w:ascii="宋体" w:hAnsi="宋体" w:cs="宋体"/>
                <w:color w:val="000000"/>
                <w:kern w:val="0"/>
                <w:sz w:val="16"/>
                <w:szCs w:val="28"/>
              </w:rPr>
              <w:t>镇区域公共品牌建设</w:t>
            </w:r>
          </w:p>
        </w:tc>
        <w:tc>
          <w:tcPr>
            <w:tcW w:w="4186" w:type="dxa"/>
            <w:tcBorders>
              <w:top w:val="single" w:color="auto" w:sz="8" w:space="0"/>
              <w:left w:val="nil"/>
              <w:bottom w:val="single" w:color="auto" w:sz="4" w:space="0"/>
              <w:right w:val="nil"/>
            </w:tcBorders>
            <w:noWrap w:val="0"/>
            <w:vAlign w:val="center"/>
          </w:tcPr>
          <w:p>
            <w:pPr>
              <w:widowControl/>
              <w:spacing w:line="200" w:lineRule="exact"/>
              <w:jc w:val="left"/>
              <w:outlineLvl w:val="9"/>
              <w:rPr>
                <w:rFonts w:ascii="宋体" w:hAnsi="宋体" w:cs="宋体"/>
                <w:kern w:val="0"/>
                <w:sz w:val="16"/>
                <w:szCs w:val="28"/>
              </w:rPr>
            </w:pPr>
            <w:r>
              <w:rPr>
                <w:rFonts w:hint="eastAsia" w:ascii="宋体" w:hAnsi="宋体" w:cs="宋体"/>
                <w:kern w:val="0"/>
                <w:sz w:val="16"/>
                <w:szCs w:val="28"/>
              </w:rPr>
              <w:t>培育特色主导产业，对接省内外优势电商产业和市场优质资源，培育壮大特色品牌，建立和完善不少于</w:t>
            </w:r>
            <w:r>
              <w:rPr>
                <w:rFonts w:ascii="宋体" w:hAnsi="宋体" w:cs="宋体"/>
                <w:kern w:val="0"/>
                <w:sz w:val="16"/>
                <w:szCs w:val="28"/>
              </w:rPr>
              <w:t>1</w:t>
            </w:r>
            <w:r>
              <w:rPr>
                <w:rFonts w:hint="eastAsia" w:ascii="宋体" w:hAnsi="宋体" w:cs="宋体"/>
                <w:kern w:val="0"/>
                <w:sz w:val="16"/>
                <w:szCs w:val="28"/>
              </w:rPr>
              <w:t>个“文旅</w:t>
            </w:r>
            <w:r>
              <w:rPr>
                <w:rFonts w:ascii="宋体" w:hAnsi="宋体" w:cs="宋体"/>
                <w:kern w:val="0"/>
                <w:sz w:val="16"/>
                <w:szCs w:val="28"/>
              </w:rPr>
              <w:t>+</w:t>
            </w:r>
            <w:r>
              <w:rPr>
                <w:rFonts w:hint="eastAsia" w:ascii="宋体" w:hAnsi="宋体" w:cs="宋体"/>
                <w:kern w:val="0"/>
                <w:sz w:val="16"/>
                <w:szCs w:val="28"/>
              </w:rPr>
              <w:t>农业”电商产业链供应链</w:t>
            </w:r>
          </w:p>
        </w:tc>
        <w:tc>
          <w:tcPr>
            <w:tcW w:w="1459" w:type="dxa"/>
            <w:tcBorders>
              <w:top w:val="single" w:color="auto" w:sz="8" w:space="0"/>
              <w:left w:val="single" w:color="auto" w:sz="8" w:space="0"/>
              <w:bottom w:val="single" w:color="auto" w:sz="4" w:space="0"/>
              <w:right w:val="single" w:color="auto" w:sz="8" w:space="0"/>
            </w:tcBorders>
            <w:noWrap/>
            <w:vAlign w:val="center"/>
          </w:tcPr>
          <w:p>
            <w:pPr>
              <w:widowControl/>
              <w:spacing w:line="200" w:lineRule="exact"/>
              <w:ind w:left="0" w:leftChars="0" w:firstLine="0" w:firstLineChars="0"/>
              <w:jc w:val="both"/>
              <w:outlineLvl w:val="9"/>
              <w:rPr>
                <w:rFonts w:ascii="宋体" w:hAnsi="宋体" w:cs="宋体"/>
                <w:color w:val="000000"/>
                <w:kern w:val="0"/>
                <w:sz w:val="16"/>
                <w:szCs w:val="28"/>
              </w:rPr>
            </w:pPr>
            <w:r>
              <w:rPr>
                <w:rFonts w:ascii="宋体" w:hAnsi="宋体" w:cs="宋体"/>
                <w:color w:val="000000"/>
                <w:kern w:val="0"/>
                <w:sz w:val="16"/>
                <w:szCs w:val="28"/>
              </w:rPr>
              <w:t>2023</w:t>
            </w:r>
            <w:r>
              <w:rPr>
                <w:rFonts w:hint="eastAsia" w:ascii="宋体" w:hAnsi="宋体" w:cs="宋体"/>
                <w:color w:val="000000"/>
                <w:kern w:val="0"/>
                <w:sz w:val="16"/>
                <w:szCs w:val="28"/>
              </w:rPr>
              <w:t>年</w:t>
            </w:r>
            <w:r>
              <w:rPr>
                <w:rFonts w:ascii="宋体" w:hAnsi="宋体" w:cs="宋体"/>
                <w:color w:val="000000"/>
                <w:kern w:val="0"/>
                <w:sz w:val="16"/>
                <w:szCs w:val="28"/>
              </w:rPr>
              <w:t>11</w:t>
            </w:r>
            <w:r>
              <w:rPr>
                <w:rFonts w:hint="eastAsia" w:ascii="宋体" w:hAnsi="宋体" w:cs="宋体"/>
                <w:color w:val="000000"/>
                <w:kern w:val="0"/>
                <w:sz w:val="16"/>
                <w:szCs w:val="28"/>
              </w:rPr>
              <w:t>月底前</w:t>
            </w:r>
          </w:p>
        </w:tc>
        <w:tc>
          <w:tcPr>
            <w:tcW w:w="767" w:type="dxa"/>
            <w:vMerge w:val="restart"/>
            <w:tcBorders>
              <w:top w:val="single" w:color="auto" w:sz="8" w:space="0"/>
              <w:left w:val="single" w:color="auto" w:sz="4" w:space="0"/>
              <w:bottom w:val="single" w:color="auto" w:sz="4" w:space="0"/>
              <w:right w:val="single" w:color="auto" w:sz="4" w:space="0"/>
            </w:tcBorders>
            <w:noWrap/>
            <w:vAlign w:val="center"/>
          </w:tcPr>
          <w:p>
            <w:pPr>
              <w:widowControl/>
              <w:spacing w:line="200" w:lineRule="exact"/>
              <w:ind w:left="0" w:leftChars="0" w:firstLine="0" w:firstLineChars="0"/>
              <w:jc w:val="center"/>
              <w:outlineLvl w:val="9"/>
              <w:rPr>
                <w:rFonts w:ascii="宋体" w:hAnsi="宋体" w:cs="宋体"/>
                <w:color w:val="000000"/>
                <w:kern w:val="0"/>
                <w:sz w:val="16"/>
                <w:szCs w:val="28"/>
              </w:rPr>
            </w:pPr>
            <w:r>
              <w:rPr>
                <w:rFonts w:ascii="宋体" w:hAnsi="宋体" w:cs="宋体"/>
                <w:color w:val="000000"/>
                <w:kern w:val="0"/>
                <w:sz w:val="16"/>
                <w:szCs w:val="28"/>
              </w:rPr>
              <w:t>340</w:t>
            </w:r>
          </w:p>
        </w:tc>
        <w:tc>
          <w:tcPr>
            <w:tcW w:w="992" w:type="dxa"/>
            <w:vMerge w:val="restart"/>
            <w:tcBorders>
              <w:top w:val="single" w:color="auto" w:sz="8" w:space="0"/>
              <w:left w:val="nil"/>
              <w:bottom w:val="single" w:color="auto" w:sz="4" w:space="0"/>
              <w:right w:val="single" w:color="auto" w:sz="4" w:space="0"/>
            </w:tcBorders>
            <w:noWrap/>
            <w:vAlign w:val="center"/>
          </w:tcPr>
          <w:p>
            <w:pPr>
              <w:widowControl/>
              <w:spacing w:line="200" w:lineRule="exact"/>
              <w:ind w:left="0" w:leftChars="0" w:firstLine="0" w:firstLineChars="0"/>
              <w:jc w:val="center"/>
              <w:outlineLvl w:val="9"/>
              <w:rPr>
                <w:rFonts w:ascii="宋体" w:hAnsi="宋体" w:cs="宋体"/>
                <w:color w:val="000000"/>
                <w:kern w:val="0"/>
                <w:sz w:val="16"/>
                <w:szCs w:val="28"/>
              </w:rPr>
            </w:pPr>
            <w:r>
              <w:rPr>
                <w:rFonts w:ascii="宋体" w:hAnsi="宋体" w:cs="宋体"/>
                <w:color w:val="000000"/>
                <w:kern w:val="0"/>
                <w:sz w:val="16"/>
                <w:szCs w:val="28"/>
              </w:rPr>
              <w:t>0</w:t>
            </w:r>
          </w:p>
        </w:tc>
        <w:tc>
          <w:tcPr>
            <w:tcW w:w="781" w:type="dxa"/>
            <w:vMerge w:val="restart"/>
            <w:tcBorders>
              <w:top w:val="single" w:color="auto" w:sz="8" w:space="0"/>
              <w:left w:val="single" w:color="auto" w:sz="4" w:space="0"/>
              <w:bottom w:val="single" w:color="auto" w:sz="4" w:space="0"/>
              <w:right w:val="single" w:color="auto" w:sz="8" w:space="0"/>
            </w:tcBorders>
            <w:noWrap/>
            <w:vAlign w:val="center"/>
          </w:tcPr>
          <w:p>
            <w:pPr>
              <w:widowControl/>
              <w:spacing w:line="200" w:lineRule="exact"/>
              <w:ind w:left="0" w:leftChars="0" w:firstLine="0" w:firstLineChars="0"/>
              <w:jc w:val="center"/>
              <w:outlineLvl w:val="9"/>
              <w:rPr>
                <w:rFonts w:ascii="宋体" w:hAnsi="宋体" w:cs="宋体"/>
                <w:color w:val="000000"/>
                <w:kern w:val="0"/>
                <w:sz w:val="16"/>
                <w:szCs w:val="28"/>
              </w:rPr>
            </w:pPr>
            <w:r>
              <w:rPr>
                <w:rFonts w:ascii="宋体" w:hAnsi="宋体" w:cs="宋体"/>
                <w:color w:val="000000"/>
                <w:kern w:val="0"/>
                <w:sz w:val="16"/>
                <w:szCs w:val="28"/>
              </w:rPr>
              <w:t>340</w:t>
            </w:r>
          </w:p>
        </w:tc>
      </w:tr>
      <w:tr>
        <w:tblPrEx>
          <w:tblCellMar>
            <w:top w:w="0" w:type="dxa"/>
            <w:left w:w="108" w:type="dxa"/>
            <w:bottom w:w="0" w:type="dxa"/>
            <w:right w:w="108" w:type="dxa"/>
          </w:tblCellMar>
        </w:tblPrEx>
        <w:trPr>
          <w:trHeight w:val="298" w:hRule="atLeast"/>
          <w:jc w:val="center"/>
        </w:trPr>
        <w:tc>
          <w:tcPr>
            <w:tcW w:w="568" w:type="dxa"/>
            <w:vMerge w:val="continue"/>
            <w:tcBorders>
              <w:top w:val="single" w:color="auto" w:sz="8" w:space="0"/>
              <w:left w:val="single" w:color="auto" w:sz="8" w:space="0"/>
              <w:bottom w:val="single" w:color="auto" w:sz="4" w:space="0"/>
              <w:right w:val="nil"/>
            </w:tcBorders>
            <w:noWrap w:val="0"/>
            <w:vAlign w:val="center"/>
          </w:tcPr>
          <w:p>
            <w:pPr>
              <w:widowControl/>
              <w:spacing w:line="200" w:lineRule="exact"/>
              <w:jc w:val="center"/>
              <w:outlineLvl w:val="9"/>
              <w:rPr>
                <w:rFonts w:ascii="宋体" w:hAnsi="宋体" w:cs="宋体"/>
                <w:color w:val="000000"/>
                <w:kern w:val="0"/>
                <w:sz w:val="16"/>
                <w:szCs w:val="28"/>
              </w:rPr>
            </w:pPr>
          </w:p>
        </w:tc>
        <w:tc>
          <w:tcPr>
            <w:tcW w:w="912" w:type="dxa"/>
            <w:vMerge w:val="continue"/>
            <w:tcBorders>
              <w:top w:val="single" w:color="auto" w:sz="8" w:space="0"/>
              <w:left w:val="single" w:color="auto" w:sz="8" w:space="0"/>
              <w:bottom w:val="single" w:color="auto" w:sz="4" w:space="0"/>
              <w:right w:val="single" w:color="auto" w:sz="8" w:space="0"/>
            </w:tcBorders>
            <w:noWrap w:val="0"/>
            <w:vAlign w:val="center"/>
          </w:tcPr>
          <w:p>
            <w:pPr>
              <w:widowControl/>
              <w:spacing w:line="200" w:lineRule="exact"/>
              <w:jc w:val="center"/>
              <w:outlineLvl w:val="9"/>
              <w:rPr>
                <w:rFonts w:ascii="宋体" w:hAnsi="宋体" w:cs="宋体"/>
                <w:color w:val="000000"/>
                <w:kern w:val="0"/>
                <w:sz w:val="16"/>
                <w:szCs w:val="28"/>
              </w:rPr>
            </w:pPr>
          </w:p>
        </w:tc>
        <w:tc>
          <w:tcPr>
            <w:tcW w:w="4186" w:type="dxa"/>
            <w:tcBorders>
              <w:top w:val="nil"/>
              <w:left w:val="nil"/>
              <w:bottom w:val="single" w:color="auto" w:sz="4" w:space="0"/>
              <w:right w:val="nil"/>
            </w:tcBorders>
            <w:noWrap w:val="0"/>
            <w:vAlign w:val="center"/>
          </w:tcPr>
          <w:p>
            <w:pPr>
              <w:widowControl/>
              <w:spacing w:line="200" w:lineRule="exact"/>
              <w:jc w:val="left"/>
              <w:outlineLvl w:val="9"/>
              <w:rPr>
                <w:rFonts w:ascii="宋体" w:hAnsi="宋体" w:cs="宋体"/>
                <w:kern w:val="0"/>
                <w:sz w:val="16"/>
                <w:szCs w:val="28"/>
              </w:rPr>
            </w:pPr>
            <w:r>
              <w:rPr>
                <w:rFonts w:hint="eastAsia" w:ascii="宋体" w:hAnsi="宋体" w:cs="宋体"/>
                <w:kern w:val="0"/>
                <w:sz w:val="16"/>
                <w:szCs w:val="28"/>
              </w:rPr>
              <w:t>打造或做强当地区域公共品牌</w:t>
            </w:r>
            <w:r>
              <w:rPr>
                <w:rFonts w:ascii="宋体" w:hAnsi="宋体" w:cs="宋体"/>
                <w:kern w:val="0"/>
                <w:sz w:val="16"/>
                <w:szCs w:val="28"/>
              </w:rPr>
              <w:t>2</w:t>
            </w:r>
            <w:r>
              <w:rPr>
                <w:rFonts w:hint="eastAsia" w:ascii="宋体" w:hAnsi="宋体" w:cs="宋体"/>
                <w:kern w:val="0"/>
                <w:sz w:val="16"/>
                <w:szCs w:val="28"/>
              </w:rPr>
              <w:t>个</w:t>
            </w:r>
          </w:p>
        </w:tc>
        <w:tc>
          <w:tcPr>
            <w:tcW w:w="1459" w:type="dxa"/>
            <w:tcBorders>
              <w:top w:val="nil"/>
              <w:left w:val="single" w:color="auto" w:sz="8" w:space="0"/>
              <w:bottom w:val="single" w:color="auto" w:sz="4" w:space="0"/>
              <w:right w:val="single" w:color="auto" w:sz="8" w:space="0"/>
            </w:tcBorders>
            <w:noWrap/>
            <w:vAlign w:val="center"/>
          </w:tcPr>
          <w:p>
            <w:pPr>
              <w:widowControl/>
              <w:spacing w:line="200" w:lineRule="exact"/>
              <w:ind w:left="0" w:leftChars="0" w:firstLine="0" w:firstLineChars="0"/>
              <w:jc w:val="both"/>
              <w:outlineLvl w:val="9"/>
              <w:rPr>
                <w:rFonts w:ascii="宋体" w:hAnsi="宋体" w:cs="宋体"/>
                <w:color w:val="000000"/>
                <w:kern w:val="0"/>
                <w:sz w:val="16"/>
                <w:szCs w:val="28"/>
              </w:rPr>
            </w:pPr>
            <w:r>
              <w:rPr>
                <w:rFonts w:ascii="宋体" w:hAnsi="宋体" w:cs="宋体"/>
                <w:color w:val="000000"/>
                <w:kern w:val="0"/>
                <w:sz w:val="16"/>
                <w:szCs w:val="28"/>
              </w:rPr>
              <w:t>2023</w:t>
            </w:r>
            <w:r>
              <w:rPr>
                <w:rFonts w:hint="eastAsia" w:ascii="宋体" w:hAnsi="宋体" w:cs="宋体"/>
                <w:color w:val="000000"/>
                <w:kern w:val="0"/>
                <w:sz w:val="16"/>
                <w:szCs w:val="28"/>
              </w:rPr>
              <w:t>年</w:t>
            </w:r>
            <w:r>
              <w:rPr>
                <w:rFonts w:ascii="宋体" w:hAnsi="宋体" w:cs="宋体"/>
                <w:color w:val="000000"/>
                <w:kern w:val="0"/>
                <w:sz w:val="16"/>
                <w:szCs w:val="28"/>
              </w:rPr>
              <w:t>11</w:t>
            </w:r>
            <w:r>
              <w:rPr>
                <w:rFonts w:hint="eastAsia" w:ascii="宋体" w:hAnsi="宋体" w:cs="宋体"/>
                <w:color w:val="000000"/>
                <w:kern w:val="0"/>
                <w:sz w:val="16"/>
                <w:szCs w:val="28"/>
              </w:rPr>
              <w:t>月底前</w:t>
            </w:r>
          </w:p>
        </w:tc>
        <w:tc>
          <w:tcPr>
            <w:tcW w:w="767" w:type="dxa"/>
            <w:vMerge w:val="continue"/>
            <w:tcBorders>
              <w:top w:val="single" w:color="auto" w:sz="8" w:space="0"/>
              <w:left w:val="single" w:color="auto" w:sz="4" w:space="0"/>
              <w:bottom w:val="single" w:color="auto" w:sz="4" w:space="0"/>
              <w:right w:val="single" w:color="auto" w:sz="4" w:space="0"/>
            </w:tcBorders>
            <w:noWrap w:val="0"/>
            <w:vAlign w:val="center"/>
          </w:tcPr>
          <w:p>
            <w:pPr>
              <w:widowControl/>
              <w:spacing w:line="200" w:lineRule="exact"/>
              <w:jc w:val="center"/>
              <w:outlineLvl w:val="9"/>
              <w:rPr>
                <w:rFonts w:ascii="宋体" w:hAnsi="宋体" w:cs="宋体"/>
                <w:color w:val="000000"/>
                <w:kern w:val="0"/>
                <w:sz w:val="16"/>
                <w:szCs w:val="28"/>
              </w:rPr>
            </w:pPr>
          </w:p>
        </w:tc>
        <w:tc>
          <w:tcPr>
            <w:tcW w:w="992" w:type="dxa"/>
            <w:vMerge w:val="continue"/>
            <w:tcBorders>
              <w:top w:val="single" w:color="auto" w:sz="8" w:space="0"/>
              <w:left w:val="nil"/>
              <w:bottom w:val="single" w:color="auto" w:sz="4" w:space="0"/>
              <w:right w:val="single" w:color="auto" w:sz="4" w:space="0"/>
            </w:tcBorders>
            <w:noWrap w:val="0"/>
            <w:vAlign w:val="center"/>
          </w:tcPr>
          <w:p>
            <w:pPr>
              <w:widowControl/>
              <w:spacing w:line="200" w:lineRule="exact"/>
              <w:jc w:val="center"/>
              <w:outlineLvl w:val="9"/>
              <w:rPr>
                <w:rFonts w:ascii="宋体" w:hAnsi="宋体" w:cs="宋体"/>
                <w:color w:val="000000"/>
                <w:kern w:val="0"/>
                <w:sz w:val="16"/>
                <w:szCs w:val="28"/>
              </w:rPr>
            </w:pPr>
          </w:p>
        </w:tc>
        <w:tc>
          <w:tcPr>
            <w:tcW w:w="781" w:type="dxa"/>
            <w:vMerge w:val="continue"/>
            <w:tcBorders>
              <w:top w:val="single" w:color="auto" w:sz="8" w:space="0"/>
              <w:left w:val="single" w:color="auto" w:sz="4" w:space="0"/>
              <w:bottom w:val="single" w:color="auto" w:sz="4" w:space="0"/>
              <w:right w:val="single" w:color="auto" w:sz="8" w:space="0"/>
            </w:tcBorders>
            <w:noWrap w:val="0"/>
            <w:vAlign w:val="center"/>
          </w:tcPr>
          <w:p>
            <w:pPr>
              <w:widowControl/>
              <w:spacing w:line="200" w:lineRule="exact"/>
              <w:jc w:val="center"/>
              <w:outlineLvl w:val="9"/>
              <w:rPr>
                <w:rFonts w:ascii="宋体" w:hAnsi="宋体" w:cs="宋体"/>
                <w:color w:val="000000"/>
                <w:kern w:val="0"/>
                <w:sz w:val="16"/>
                <w:szCs w:val="28"/>
              </w:rPr>
            </w:pPr>
          </w:p>
        </w:tc>
      </w:tr>
      <w:tr>
        <w:tblPrEx>
          <w:tblCellMar>
            <w:top w:w="0" w:type="dxa"/>
            <w:left w:w="108" w:type="dxa"/>
            <w:bottom w:w="0" w:type="dxa"/>
            <w:right w:w="108" w:type="dxa"/>
          </w:tblCellMar>
        </w:tblPrEx>
        <w:trPr>
          <w:trHeight w:val="298" w:hRule="atLeast"/>
          <w:jc w:val="center"/>
        </w:trPr>
        <w:tc>
          <w:tcPr>
            <w:tcW w:w="568" w:type="dxa"/>
            <w:vMerge w:val="continue"/>
            <w:tcBorders>
              <w:top w:val="single" w:color="auto" w:sz="8" w:space="0"/>
              <w:left w:val="single" w:color="auto" w:sz="8" w:space="0"/>
              <w:bottom w:val="single" w:color="auto" w:sz="4" w:space="0"/>
              <w:right w:val="nil"/>
            </w:tcBorders>
            <w:noWrap w:val="0"/>
            <w:vAlign w:val="center"/>
          </w:tcPr>
          <w:p>
            <w:pPr>
              <w:widowControl/>
              <w:spacing w:line="200" w:lineRule="exact"/>
              <w:jc w:val="center"/>
              <w:outlineLvl w:val="9"/>
              <w:rPr>
                <w:rFonts w:ascii="宋体" w:hAnsi="宋体" w:cs="宋体"/>
                <w:color w:val="000000"/>
                <w:kern w:val="0"/>
                <w:sz w:val="16"/>
                <w:szCs w:val="28"/>
              </w:rPr>
            </w:pPr>
          </w:p>
        </w:tc>
        <w:tc>
          <w:tcPr>
            <w:tcW w:w="912" w:type="dxa"/>
            <w:vMerge w:val="continue"/>
            <w:tcBorders>
              <w:top w:val="single" w:color="auto" w:sz="8" w:space="0"/>
              <w:left w:val="single" w:color="auto" w:sz="8" w:space="0"/>
              <w:bottom w:val="single" w:color="auto" w:sz="4" w:space="0"/>
              <w:right w:val="single" w:color="auto" w:sz="8" w:space="0"/>
            </w:tcBorders>
            <w:noWrap w:val="0"/>
            <w:vAlign w:val="center"/>
          </w:tcPr>
          <w:p>
            <w:pPr>
              <w:widowControl/>
              <w:spacing w:line="200" w:lineRule="exact"/>
              <w:jc w:val="center"/>
              <w:outlineLvl w:val="9"/>
              <w:rPr>
                <w:rFonts w:ascii="宋体" w:hAnsi="宋体" w:cs="宋体"/>
                <w:color w:val="000000"/>
                <w:kern w:val="0"/>
                <w:sz w:val="16"/>
                <w:szCs w:val="28"/>
              </w:rPr>
            </w:pPr>
          </w:p>
        </w:tc>
        <w:tc>
          <w:tcPr>
            <w:tcW w:w="4186" w:type="dxa"/>
            <w:tcBorders>
              <w:top w:val="nil"/>
              <w:left w:val="nil"/>
              <w:bottom w:val="single" w:color="auto" w:sz="4" w:space="0"/>
              <w:right w:val="nil"/>
            </w:tcBorders>
            <w:noWrap w:val="0"/>
            <w:vAlign w:val="center"/>
          </w:tcPr>
          <w:p>
            <w:pPr>
              <w:widowControl/>
              <w:spacing w:line="200" w:lineRule="exact"/>
              <w:jc w:val="left"/>
              <w:outlineLvl w:val="9"/>
              <w:rPr>
                <w:rFonts w:ascii="宋体" w:hAnsi="宋体" w:cs="宋体"/>
                <w:kern w:val="0"/>
                <w:sz w:val="16"/>
                <w:szCs w:val="28"/>
              </w:rPr>
            </w:pPr>
            <w:r>
              <w:rPr>
                <w:rFonts w:hint="eastAsia" w:ascii="宋体" w:hAnsi="宋体" w:cs="宋体"/>
                <w:kern w:val="0"/>
                <w:sz w:val="16"/>
                <w:szCs w:val="28"/>
              </w:rPr>
              <w:t>打造提升“小而美</w:t>
            </w:r>
            <w:r>
              <w:rPr>
                <w:rFonts w:ascii="宋体" w:hAnsi="宋体" w:cs="宋体"/>
                <w:kern w:val="0"/>
                <w:sz w:val="16"/>
                <w:szCs w:val="28"/>
              </w:rPr>
              <w:t xml:space="preserve"> </w:t>
            </w:r>
            <w:r>
              <w:rPr>
                <w:rFonts w:hint="eastAsia" w:ascii="宋体" w:hAnsi="宋体" w:cs="宋体"/>
                <w:kern w:val="0"/>
                <w:sz w:val="16"/>
                <w:szCs w:val="28"/>
              </w:rPr>
              <w:t>”自主品牌不少于</w:t>
            </w:r>
            <w:r>
              <w:rPr>
                <w:rFonts w:ascii="宋体" w:hAnsi="宋体" w:cs="宋体"/>
                <w:kern w:val="0"/>
                <w:sz w:val="16"/>
                <w:szCs w:val="28"/>
              </w:rPr>
              <w:t>5</w:t>
            </w:r>
            <w:r>
              <w:rPr>
                <w:rFonts w:hint="eastAsia" w:ascii="宋体" w:hAnsi="宋体" w:cs="宋体"/>
                <w:kern w:val="0"/>
                <w:sz w:val="16"/>
                <w:szCs w:val="28"/>
              </w:rPr>
              <w:t>个</w:t>
            </w:r>
            <w:r>
              <w:rPr>
                <w:rFonts w:ascii="宋体" w:hAnsi="宋体" w:cs="宋体"/>
                <w:kern w:val="0"/>
                <w:sz w:val="16"/>
                <w:szCs w:val="28"/>
              </w:rPr>
              <w:t xml:space="preserve"> </w:t>
            </w:r>
            <w:r>
              <w:rPr>
                <w:rFonts w:hint="eastAsia" w:ascii="宋体" w:hAnsi="宋体" w:cs="宋体"/>
                <w:kern w:val="0"/>
                <w:sz w:val="16"/>
                <w:szCs w:val="28"/>
              </w:rPr>
              <w:t>，网货产品不少于</w:t>
            </w:r>
            <w:r>
              <w:rPr>
                <w:rFonts w:ascii="宋体" w:hAnsi="宋体" w:cs="宋体"/>
                <w:kern w:val="0"/>
                <w:sz w:val="16"/>
                <w:szCs w:val="28"/>
              </w:rPr>
              <w:t>5</w:t>
            </w:r>
            <w:r>
              <w:rPr>
                <w:rFonts w:hint="eastAsia" w:ascii="宋体" w:hAnsi="宋体" w:cs="宋体"/>
                <w:kern w:val="0"/>
                <w:sz w:val="16"/>
                <w:szCs w:val="28"/>
              </w:rPr>
              <w:t>款</w:t>
            </w:r>
          </w:p>
        </w:tc>
        <w:tc>
          <w:tcPr>
            <w:tcW w:w="1459" w:type="dxa"/>
            <w:tcBorders>
              <w:top w:val="nil"/>
              <w:left w:val="single" w:color="auto" w:sz="8" w:space="0"/>
              <w:bottom w:val="single" w:color="auto" w:sz="4" w:space="0"/>
              <w:right w:val="single" w:color="auto" w:sz="8" w:space="0"/>
            </w:tcBorders>
            <w:noWrap/>
            <w:vAlign w:val="center"/>
          </w:tcPr>
          <w:p>
            <w:pPr>
              <w:widowControl/>
              <w:spacing w:line="200" w:lineRule="exact"/>
              <w:ind w:left="0" w:leftChars="0" w:firstLine="0" w:firstLineChars="0"/>
              <w:jc w:val="both"/>
              <w:outlineLvl w:val="9"/>
              <w:rPr>
                <w:rFonts w:ascii="宋体" w:hAnsi="宋体" w:cs="宋体"/>
                <w:color w:val="000000"/>
                <w:kern w:val="0"/>
                <w:sz w:val="16"/>
                <w:szCs w:val="28"/>
              </w:rPr>
            </w:pPr>
            <w:r>
              <w:rPr>
                <w:rFonts w:ascii="宋体" w:hAnsi="宋体" w:cs="宋体"/>
                <w:color w:val="000000"/>
                <w:kern w:val="0"/>
                <w:sz w:val="16"/>
                <w:szCs w:val="28"/>
              </w:rPr>
              <w:t>2023</w:t>
            </w:r>
            <w:r>
              <w:rPr>
                <w:rFonts w:hint="eastAsia" w:ascii="宋体" w:hAnsi="宋体" w:cs="宋体"/>
                <w:color w:val="000000"/>
                <w:kern w:val="0"/>
                <w:sz w:val="16"/>
                <w:szCs w:val="28"/>
              </w:rPr>
              <w:t>年</w:t>
            </w:r>
            <w:r>
              <w:rPr>
                <w:rFonts w:ascii="宋体" w:hAnsi="宋体" w:cs="宋体"/>
                <w:color w:val="000000"/>
                <w:kern w:val="0"/>
                <w:sz w:val="16"/>
                <w:szCs w:val="28"/>
              </w:rPr>
              <w:t>11</w:t>
            </w:r>
            <w:r>
              <w:rPr>
                <w:rFonts w:hint="eastAsia" w:ascii="宋体" w:hAnsi="宋体" w:cs="宋体"/>
                <w:color w:val="000000"/>
                <w:kern w:val="0"/>
                <w:sz w:val="16"/>
                <w:szCs w:val="28"/>
              </w:rPr>
              <w:t>月底前</w:t>
            </w:r>
          </w:p>
        </w:tc>
        <w:tc>
          <w:tcPr>
            <w:tcW w:w="767" w:type="dxa"/>
            <w:vMerge w:val="continue"/>
            <w:tcBorders>
              <w:top w:val="single" w:color="auto" w:sz="8" w:space="0"/>
              <w:left w:val="single" w:color="auto" w:sz="4" w:space="0"/>
              <w:bottom w:val="single" w:color="auto" w:sz="4" w:space="0"/>
              <w:right w:val="single" w:color="auto" w:sz="4" w:space="0"/>
            </w:tcBorders>
            <w:noWrap w:val="0"/>
            <w:vAlign w:val="center"/>
          </w:tcPr>
          <w:p>
            <w:pPr>
              <w:widowControl/>
              <w:spacing w:line="200" w:lineRule="exact"/>
              <w:jc w:val="center"/>
              <w:outlineLvl w:val="9"/>
              <w:rPr>
                <w:rFonts w:ascii="宋体" w:hAnsi="宋体" w:cs="宋体"/>
                <w:color w:val="000000"/>
                <w:kern w:val="0"/>
                <w:sz w:val="16"/>
                <w:szCs w:val="28"/>
              </w:rPr>
            </w:pPr>
          </w:p>
        </w:tc>
        <w:tc>
          <w:tcPr>
            <w:tcW w:w="992" w:type="dxa"/>
            <w:vMerge w:val="continue"/>
            <w:tcBorders>
              <w:top w:val="single" w:color="auto" w:sz="8" w:space="0"/>
              <w:left w:val="nil"/>
              <w:bottom w:val="single" w:color="auto" w:sz="4" w:space="0"/>
              <w:right w:val="single" w:color="auto" w:sz="4" w:space="0"/>
            </w:tcBorders>
            <w:noWrap w:val="0"/>
            <w:vAlign w:val="center"/>
          </w:tcPr>
          <w:p>
            <w:pPr>
              <w:widowControl/>
              <w:spacing w:line="200" w:lineRule="exact"/>
              <w:jc w:val="center"/>
              <w:outlineLvl w:val="9"/>
              <w:rPr>
                <w:rFonts w:ascii="宋体" w:hAnsi="宋体" w:cs="宋体"/>
                <w:color w:val="000000"/>
                <w:kern w:val="0"/>
                <w:sz w:val="16"/>
                <w:szCs w:val="28"/>
              </w:rPr>
            </w:pPr>
          </w:p>
        </w:tc>
        <w:tc>
          <w:tcPr>
            <w:tcW w:w="781" w:type="dxa"/>
            <w:vMerge w:val="continue"/>
            <w:tcBorders>
              <w:top w:val="single" w:color="auto" w:sz="8" w:space="0"/>
              <w:left w:val="single" w:color="auto" w:sz="4" w:space="0"/>
              <w:bottom w:val="single" w:color="auto" w:sz="4" w:space="0"/>
              <w:right w:val="single" w:color="auto" w:sz="8" w:space="0"/>
            </w:tcBorders>
            <w:noWrap w:val="0"/>
            <w:vAlign w:val="center"/>
          </w:tcPr>
          <w:p>
            <w:pPr>
              <w:widowControl/>
              <w:spacing w:line="200" w:lineRule="exact"/>
              <w:jc w:val="center"/>
              <w:outlineLvl w:val="9"/>
              <w:rPr>
                <w:rFonts w:ascii="宋体" w:hAnsi="宋体" w:cs="宋体"/>
                <w:color w:val="000000"/>
                <w:kern w:val="0"/>
                <w:sz w:val="16"/>
                <w:szCs w:val="28"/>
              </w:rPr>
            </w:pPr>
          </w:p>
        </w:tc>
      </w:tr>
      <w:tr>
        <w:tblPrEx>
          <w:tblCellMar>
            <w:top w:w="0" w:type="dxa"/>
            <w:left w:w="108" w:type="dxa"/>
            <w:bottom w:w="0" w:type="dxa"/>
            <w:right w:w="108" w:type="dxa"/>
          </w:tblCellMar>
        </w:tblPrEx>
        <w:trPr>
          <w:trHeight w:val="286" w:hRule="atLeast"/>
          <w:jc w:val="center"/>
        </w:trPr>
        <w:tc>
          <w:tcPr>
            <w:tcW w:w="568" w:type="dxa"/>
            <w:vMerge w:val="continue"/>
            <w:tcBorders>
              <w:top w:val="single" w:color="auto" w:sz="8" w:space="0"/>
              <w:left w:val="single" w:color="auto" w:sz="8" w:space="0"/>
              <w:bottom w:val="single" w:color="auto" w:sz="4" w:space="0"/>
              <w:right w:val="nil"/>
            </w:tcBorders>
            <w:noWrap w:val="0"/>
            <w:vAlign w:val="center"/>
          </w:tcPr>
          <w:p>
            <w:pPr>
              <w:widowControl/>
              <w:spacing w:line="200" w:lineRule="exact"/>
              <w:jc w:val="center"/>
              <w:outlineLvl w:val="9"/>
              <w:rPr>
                <w:rFonts w:ascii="宋体" w:hAnsi="宋体" w:cs="宋体"/>
                <w:color w:val="000000"/>
                <w:kern w:val="0"/>
                <w:sz w:val="16"/>
                <w:szCs w:val="28"/>
              </w:rPr>
            </w:pPr>
          </w:p>
        </w:tc>
        <w:tc>
          <w:tcPr>
            <w:tcW w:w="912" w:type="dxa"/>
            <w:vMerge w:val="continue"/>
            <w:tcBorders>
              <w:top w:val="single" w:color="auto" w:sz="8" w:space="0"/>
              <w:left w:val="single" w:color="auto" w:sz="8" w:space="0"/>
              <w:bottom w:val="single" w:color="auto" w:sz="4" w:space="0"/>
              <w:right w:val="single" w:color="auto" w:sz="8" w:space="0"/>
            </w:tcBorders>
            <w:noWrap w:val="0"/>
            <w:vAlign w:val="center"/>
          </w:tcPr>
          <w:p>
            <w:pPr>
              <w:widowControl/>
              <w:spacing w:line="200" w:lineRule="exact"/>
              <w:jc w:val="center"/>
              <w:outlineLvl w:val="9"/>
              <w:rPr>
                <w:rFonts w:ascii="宋体" w:hAnsi="宋体" w:cs="宋体"/>
                <w:color w:val="000000"/>
                <w:kern w:val="0"/>
                <w:sz w:val="16"/>
                <w:szCs w:val="28"/>
              </w:rPr>
            </w:pPr>
          </w:p>
        </w:tc>
        <w:tc>
          <w:tcPr>
            <w:tcW w:w="4186" w:type="dxa"/>
            <w:tcBorders>
              <w:top w:val="nil"/>
              <w:left w:val="nil"/>
              <w:bottom w:val="single" w:color="auto" w:sz="4" w:space="0"/>
              <w:right w:val="nil"/>
            </w:tcBorders>
            <w:noWrap w:val="0"/>
            <w:vAlign w:val="center"/>
          </w:tcPr>
          <w:p>
            <w:pPr>
              <w:widowControl/>
              <w:spacing w:line="200" w:lineRule="exact"/>
              <w:jc w:val="left"/>
              <w:outlineLvl w:val="9"/>
              <w:rPr>
                <w:rFonts w:ascii="宋体" w:hAnsi="宋体" w:cs="宋体"/>
                <w:color w:val="000000"/>
                <w:kern w:val="0"/>
                <w:sz w:val="16"/>
                <w:szCs w:val="28"/>
              </w:rPr>
            </w:pPr>
            <w:r>
              <w:rPr>
                <w:rFonts w:hint="eastAsia" w:ascii="宋体" w:hAnsi="宋体" w:cs="宋体"/>
                <w:color w:val="000000"/>
                <w:kern w:val="0"/>
                <w:sz w:val="16"/>
                <w:szCs w:val="28"/>
              </w:rPr>
              <w:t>制定建立区域公共品牌运行和管理制度</w:t>
            </w:r>
          </w:p>
        </w:tc>
        <w:tc>
          <w:tcPr>
            <w:tcW w:w="1459" w:type="dxa"/>
            <w:tcBorders>
              <w:top w:val="nil"/>
              <w:left w:val="single" w:color="auto" w:sz="8" w:space="0"/>
              <w:bottom w:val="single" w:color="auto" w:sz="4" w:space="0"/>
              <w:right w:val="single" w:color="auto" w:sz="8" w:space="0"/>
            </w:tcBorders>
            <w:noWrap/>
            <w:vAlign w:val="center"/>
          </w:tcPr>
          <w:p>
            <w:pPr>
              <w:widowControl/>
              <w:spacing w:line="200" w:lineRule="exact"/>
              <w:ind w:left="0" w:leftChars="0" w:firstLine="0" w:firstLineChars="0"/>
              <w:jc w:val="both"/>
              <w:outlineLvl w:val="9"/>
              <w:rPr>
                <w:rFonts w:ascii="宋体" w:hAnsi="宋体" w:cs="宋体"/>
                <w:color w:val="000000"/>
                <w:kern w:val="0"/>
                <w:sz w:val="16"/>
                <w:szCs w:val="28"/>
              </w:rPr>
            </w:pPr>
            <w:r>
              <w:rPr>
                <w:rFonts w:ascii="宋体" w:hAnsi="宋体" w:cs="宋体"/>
                <w:color w:val="000000"/>
                <w:kern w:val="0"/>
                <w:sz w:val="16"/>
                <w:szCs w:val="28"/>
              </w:rPr>
              <w:t>2023</w:t>
            </w:r>
            <w:r>
              <w:rPr>
                <w:rFonts w:hint="eastAsia" w:ascii="宋体" w:hAnsi="宋体" w:cs="宋体"/>
                <w:color w:val="000000"/>
                <w:kern w:val="0"/>
                <w:sz w:val="16"/>
                <w:szCs w:val="28"/>
              </w:rPr>
              <w:t>年</w:t>
            </w:r>
            <w:r>
              <w:rPr>
                <w:rFonts w:ascii="宋体" w:hAnsi="宋体" w:cs="宋体"/>
                <w:color w:val="000000"/>
                <w:kern w:val="0"/>
                <w:sz w:val="16"/>
                <w:szCs w:val="28"/>
              </w:rPr>
              <w:t>11</w:t>
            </w:r>
            <w:r>
              <w:rPr>
                <w:rFonts w:hint="eastAsia" w:ascii="宋体" w:hAnsi="宋体" w:cs="宋体"/>
                <w:color w:val="000000"/>
                <w:kern w:val="0"/>
                <w:sz w:val="16"/>
                <w:szCs w:val="28"/>
              </w:rPr>
              <w:t>月底前</w:t>
            </w:r>
          </w:p>
        </w:tc>
        <w:tc>
          <w:tcPr>
            <w:tcW w:w="767" w:type="dxa"/>
            <w:vMerge w:val="continue"/>
            <w:tcBorders>
              <w:top w:val="single" w:color="auto" w:sz="8" w:space="0"/>
              <w:left w:val="single" w:color="auto" w:sz="4" w:space="0"/>
              <w:bottom w:val="single" w:color="auto" w:sz="4" w:space="0"/>
              <w:right w:val="single" w:color="auto" w:sz="4" w:space="0"/>
            </w:tcBorders>
            <w:noWrap w:val="0"/>
            <w:vAlign w:val="center"/>
          </w:tcPr>
          <w:p>
            <w:pPr>
              <w:widowControl/>
              <w:spacing w:line="200" w:lineRule="exact"/>
              <w:jc w:val="center"/>
              <w:outlineLvl w:val="9"/>
              <w:rPr>
                <w:rFonts w:ascii="宋体" w:hAnsi="宋体" w:cs="宋体"/>
                <w:color w:val="000000"/>
                <w:kern w:val="0"/>
                <w:sz w:val="16"/>
                <w:szCs w:val="28"/>
              </w:rPr>
            </w:pPr>
          </w:p>
        </w:tc>
        <w:tc>
          <w:tcPr>
            <w:tcW w:w="992" w:type="dxa"/>
            <w:vMerge w:val="continue"/>
            <w:tcBorders>
              <w:top w:val="single" w:color="auto" w:sz="8" w:space="0"/>
              <w:left w:val="nil"/>
              <w:bottom w:val="single" w:color="auto" w:sz="4" w:space="0"/>
              <w:right w:val="single" w:color="auto" w:sz="4" w:space="0"/>
            </w:tcBorders>
            <w:noWrap w:val="0"/>
            <w:vAlign w:val="center"/>
          </w:tcPr>
          <w:p>
            <w:pPr>
              <w:widowControl/>
              <w:spacing w:line="200" w:lineRule="exact"/>
              <w:jc w:val="center"/>
              <w:outlineLvl w:val="9"/>
              <w:rPr>
                <w:rFonts w:ascii="宋体" w:hAnsi="宋体" w:cs="宋体"/>
                <w:color w:val="000000"/>
                <w:kern w:val="0"/>
                <w:sz w:val="16"/>
                <w:szCs w:val="28"/>
              </w:rPr>
            </w:pPr>
          </w:p>
        </w:tc>
        <w:tc>
          <w:tcPr>
            <w:tcW w:w="781" w:type="dxa"/>
            <w:vMerge w:val="continue"/>
            <w:tcBorders>
              <w:top w:val="single" w:color="auto" w:sz="8" w:space="0"/>
              <w:left w:val="single" w:color="auto" w:sz="4" w:space="0"/>
              <w:bottom w:val="single" w:color="auto" w:sz="4" w:space="0"/>
              <w:right w:val="single" w:color="auto" w:sz="8" w:space="0"/>
            </w:tcBorders>
            <w:noWrap w:val="0"/>
            <w:vAlign w:val="center"/>
          </w:tcPr>
          <w:p>
            <w:pPr>
              <w:widowControl/>
              <w:spacing w:line="200" w:lineRule="exact"/>
              <w:jc w:val="center"/>
              <w:outlineLvl w:val="9"/>
              <w:rPr>
                <w:rFonts w:ascii="宋体" w:hAnsi="宋体" w:cs="宋体"/>
                <w:color w:val="000000"/>
                <w:kern w:val="0"/>
                <w:sz w:val="16"/>
                <w:szCs w:val="28"/>
              </w:rPr>
            </w:pPr>
          </w:p>
        </w:tc>
      </w:tr>
      <w:tr>
        <w:tblPrEx>
          <w:tblCellMar>
            <w:top w:w="0" w:type="dxa"/>
            <w:left w:w="108" w:type="dxa"/>
            <w:bottom w:w="0" w:type="dxa"/>
            <w:right w:w="108" w:type="dxa"/>
          </w:tblCellMar>
        </w:tblPrEx>
        <w:trPr>
          <w:trHeight w:val="298" w:hRule="atLeast"/>
          <w:jc w:val="center"/>
        </w:trPr>
        <w:tc>
          <w:tcPr>
            <w:tcW w:w="568" w:type="dxa"/>
            <w:vMerge w:val="continue"/>
            <w:tcBorders>
              <w:top w:val="single" w:color="auto" w:sz="8" w:space="0"/>
              <w:left w:val="single" w:color="auto" w:sz="8" w:space="0"/>
              <w:bottom w:val="single" w:color="auto" w:sz="4" w:space="0"/>
              <w:right w:val="nil"/>
            </w:tcBorders>
            <w:noWrap w:val="0"/>
            <w:vAlign w:val="center"/>
          </w:tcPr>
          <w:p>
            <w:pPr>
              <w:widowControl/>
              <w:spacing w:line="200" w:lineRule="exact"/>
              <w:jc w:val="center"/>
              <w:outlineLvl w:val="9"/>
              <w:rPr>
                <w:rFonts w:ascii="宋体" w:hAnsi="宋体" w:cs="宋体"/>
                <w:color w:val="000000"/>
                <w:kern w:val="0"/>
                <w:sz w:val="16"/>
                <w:szCs w:val="28"/>
              </w:rPr>
            </w:pPr>
          </w:p>
        </w:tc>
        <w:tc>
          <w:tcPr>
            <w:tcW w:w="912" w:type="dxa"/>
            <w:vMerge w:val="continue"/>
            <w:tcBorders>
              <w:top w:val="single" w:color="auto" w:sz="8" w:space="0"/>
              <w:left w:val="single" w:color="auto" w:sz="8" w:space="0"/>
              <w:bottom w:val="single" w:color="auto" w:sz="4" w:space="0"/>
              <w:right w:val="single" w:color="auto" w:sz="8" w:space="0"/>
            </w:tcBorders>
            <w:noWrap w:val="0"/>
            <w:vAlign w:val="center"/>
          </w:tcPr>
          <w:p>
            <w:pPr>
              <w:widowControl/>
              <w:spacing w:line="200" w:lineRule="exact"/>
              <w:jc w:val="center"/>
              <w:outlineLvl w:val="9"/>
              <w:rPr>
                <w:rFonts w:ascii="宋体" w:hAnsi="宋体" w:cs="宋体"/>
                <w:color w:val="000000"/>
                <w:kern w:val="0"/>
                <w:sz w:val="16"/>
                <w:szCs w:val="28"/>
              </w:rPr>
            </w:pPr>
          </w:p>
        </w:tc>
        <w:tc>
          <w:tcPr>
            <w:tcW w:w="4186" w:type="dxa"/>
            <w:tcBorders>
              <w:top w:val="nil"/>
              <w:left w:val="nil"/>
              <w:bottom w:val="single" w:color="auto" w:sz="4" w:space="0"/>
              <w:right w:val="nil"/>
            </w:tcBorders>
            <w:noWrap w:val="0"/>
            <w:vAlign w:val="center"/>
          </w:tcPr>
          <w:p>
            <w:pPr>
              <w:widowControl/>
              <w:spacing w:line="200" w:lineRule="exact"/>
              <w:jc w:val="left"/>
              <w:outlineLvl w:val="9"/>
              <w:rPr>
                <w:rFonts w:ascii="宋体" w:hAnsi="宋体" w:cs="宋体"/>
                <w:color w:val="000000"/>
                <w:kern w:val="0"/>
                <w:sz w:val="16"/>
                <w:szCs w:val="28"/>
              </w:rPr>
            </w:pPr>
            <w:r>
              <w:rPr>
                <w:rFonts w:hint="eastAsia" w:ascii="宋体" w:hAnsi="宋体" w:cs="宋体"/>
                <w:color w:val="000000"/>
                <w:kern w:val="0"/>
                <w:sz w:val="16"/>
                <w:szCs w:val="28"/>
              </w:rPr>
              <w:t>建立线上及线下宣传矩阵，宣传推广区域公共品牌</w:t>
            </w:r>
          </w:p>
        </w:tc>
        <w:tc>
          <w:tcPr>
            <w:tcW w:w="1459" w:type="dxa"/>
            <w:tcBorders>
              <w:top w:val="nil"/>
              <w:left w:val="single" w:color="auto" w:sz="8" w:space="0"/>
              <w:bottom w:val="single" w:color="auto" w:sz="4" w:space="0"/>
              <w:right w:val="single" w:color="auto" w:sz="8" w:space="0"/>
            </w:tcBorders>
            <w:noWrap/>
            <w:vAlign w:val="center"/>
          </w:tcPr>
          <w:p>
            <w:pPr>
              <w:widowControl/>
              <w:spacing w:line="200" w:lineRule="exact"/>
              <w:ind w:left="0" w:leftChars="0" w:firstLine="0" w:firstLineChars="0"/>
              <w:jc w:val="both"/>
              <w:outlineLvl w:val="9"/>
              <w:rPr>
                <w:rFonts w:ascii="宋体" w:hAnsi="宋体" w:cs="宋体"/>
                <w:color w:val="000000"/>
                <w:kern w:val="0"/>
                <w:sz w:val="16"/>
                <w:szCs w:val="28"/>
              </w:rPr>
            </w:pPr>
            <w:r>
              <w:rPr>
                <w:rFonts w:ascii="宋体" w:hAnsi="宋体" w:cs="宋体"/>
                <w:color w:val="000000"/>
                <w:kern w:val="0"/>
                <w:sz w:val="16"/>
                <w:szCs w:val="28"/>
              </w:rPr>
              <w:t>2023</w:t>
            </w:r>
            <w:r>
              <w:rPr>
                <w:rFonts w:hint="eastAsia" w:ascii="宋体" w:hAnsi="宋体" w:cs="宋体"/>
                <w:color w:val="000000"/>
                <w:kern w:val="0"/>
                <w:sz w:val="16"/>
                <w:szCs w:val="28"/>
              </w:rPr>
              <w:t>年</w:t>
            </w:r>
            <w:r>
              <w:rPr>
                <w:rFonts w:ascii="宋体" w:hAnsi="宋体" w:cs="宋体"/>
                <w:color w:val="000000"/>
                <w:kern w:val="0"/>
                <w:sz w:val="16"/>
                <w:szCs w:val="28"/>
              </w:rPr>
              <w:t>11</w:t>
            </w:r>
            <w:r>
              <w:rPr>
                <w:rFonts w:hint="eastAsia" w:ascii="宋体" w:hAnsi="宋体" w:cs="宋体"/>
                <w:color w:val="000000"/>
                <w:kern w:val="0"/>
                <w:sz w:val="16"/>
                <w:szCs w:val="28"/>
              </w:rPr>
              <w:t>月底前</w:t>
            </w:r>
          </w:p>
        </w:tc>
        <w:tc>
          <w:tcPr>
            <w:tcW w:w="767" w:type="dxa"/>
            <w:vMerge w:val="continue"/>
            <w:tcBorders>
              <w:top w:val="single" w:color="auto" w:sz="8" w:space="0"/>
              <w:left w:val="single" w:color="auto" w:sz="4" w:space="0"/>
              <w:bottom w:val="single" w:color="auto" w:sz="4" w:space="0"/>
              <w:right w:val="single" w:color="auto" w:sz="4" w:space="0"/>
            </w:tcBorders>
            <w:noWrap w:val="0"/>
            <w:vAlign w:val="center"/>
          </w:tcPr>
          <w:p>
            <w:pPr>
              <w:widowControl/>
              <w:spacing w:line="200" w:lineRule="exact"/>
              <w:jc w:val="center"/>
              <w:outlineLvl w:val="9"/>
              <w:rPr>
                <w:rFonts w:ascii="宋体" w:hAnsi="宋体" w:cs="宋体"/>
                <w:color w:val="000000"/>
                <w:kern w:val="0"/>
                <w:sz w:val="16"/>
                <w:szCs w:val="28"/>
              </w:rPr>
            </w:pPr>
          </w:p>
        </w:tc>
        <w:tc>
          <w:tcPr>
            <w:tcW w:w="992" w:type="dxa"/>
            <w:vMerge w:val="continue"/>
            <w:tcBorders>
              <w:top w:val="single" w:color="auto" w:sz="8" w:space="0"/>
              <w:left w:val="nil"/>
              <w:bottom w:val="single" w:color="auto" w:sz="4" w:space="0"/>
              <w:right w:val="single" w:color="auto" w:sz="4" w:space="0"/>
            </w:tcBorders>
            <w:noWrap w:val="0"/>
            <w:vAlign w:val="center"/>
          </w:tcPr>
          <w:p>
            <w:pPr>
              <w:widowControl/>
              <w:spacing w:line="200" w:lineRule="exact"/>
              <w:jc w:val="center"/>
              <w:outlineLvl w:val="9"/>
              <w:rPr>
                <w:rFonts w:ascii="宋体" w:hAnsi="宋体" w:cs="宋体"/>
                <w:color w:val="000000"/>
                <w:kern w:val="0"/>
                <w:sz w:val="16"/>
                <w:szCs w:val="28"/>
              </w:rPr>
            </w:pPr>
          </w:p>
        </w:tc>
        <w:tc>
          <w:tcPr>
            <w:tcW w:w="781" w:type="dxa"/>
            <w:vMerge w:val="continue"/>
            <w:tcBorders>
              <w:top w:val="single" w:color="auto" w:sz="8" w:space="0"/>
              <w:left w:val="single" w:color="auto" w:sz="4" w:space="0"/>
              <w:bottom w:val="single" w:color="auto" w:sz="4" w:space="0"/>
              <w:right w:val="single" w:color="auto" w:sz="8" w:space="0"/>
            </w:tcBorders>
            <w:noWrap w:val="0"/>
            <w:vAlign w:val="center"/>
          </w:tcPr>
          <w:p>
            <w:pPr>
              <w:widowControl/>
              <w:spacing w:line="200" w:lineRule="exact"/>
              <w:jc w:val="center"/>
              <w:outlineLvl w:val="9"/>
              <w:rPr>
                <w:rFonts w:ascii="宋体" w:hAnsi="宋体" w:cs="宋体"/>
                <w:color w:val="000000"/>
                <w:kern w:val="0"/>
                <w:sz w:val="16"/>
                <w:szCs w:val="28"/>
              </w:rPr>
            </w:pPr>
          </w:p>
        </w:tc>
      </w:tr>
      <w:tr>
        <w:tblPrEx>
          <w:tblCellMar>
            <w:top w:w="0" w:type="dxa"/>
            <w:left w:w="108" w:type="dxa"/>
            <w:bottom w:w="0" w:type="dxa"/>
            <w:right w:w="108" w:type="dxa"/>
          </w:tblCellMar>
        </w:tblPrEx>
        <w:trPr>
          <w:trHeight w:val="272" w:hRule="atLeast"/>
          <w:jc w:val="center"/>
        </w:trPr>
        <w:tc>
          <w:tcPr>
            <w:tcW w:w="568" w:type="dxa"/>
            <w:vMerge w:val="continue"/>
            <w:tcBorders>
              <w:top w:val="single" w:color="auto" w:sz="8" w:space="0"/>
              <w:left w:val="single" w:color="auto" w:sz="8" w:space="0"/>
              <w:bottom w:val="single" w:color="auto" w:sz="4" w:space="0"/>
              <w:right w:val="nil"/>
            </w:tcBorders>
            <w:noWrap w:val="0"/>
            <w:vAlign w:val="center"/>
          </w:tcPr>
          <w:p>
            <w:pPr>
              <w:widowControl/>
              <w:spacing w:line="200" w:lineRule="exact"/>
              <w:jc w:val="center"/>
              <w:outlineLvl w:val="9"/>
              <w:rPr>
                <w:rFonts w:ascii="宋体" w:hAnsi="宋体" w:cs="宋体"/>
                <w:color w:val="000000"/>
                <w:kern w:val="0"/>
                <w:sz w:val="16"/>
                <w:szCs w:val="28"/>
              </w:rPr>
            </w:pPr>
          </w:p>
        </w:tc>
        <w:tc>
          <w:tcPr>
            <w:tcW w:w="912" w:type="dxa"/>
            <w:vMerge w:val="continue"/>
            <w:tcBorders>
              <w:top w:val="single" w:color="auto" w:sz="8" w:space="0"/>
              <w:left w:val="single" w:color="auto" w:sz="8" w:space="0"/>
              <w:bottom w:val="single" w:color="auto" w:sz="4" w:space="0"/>
              <w:right w:val="single" w:color="auto" w:sz="4" w:space="0"/>
            </w:tcBorders>
            <w:noWrap w:val="0"/>
            <w:vAlign w:val="center"/>
          </w:tcPr>
          <w:p>
            <w:pPr>
              <w:widowControl/>
              <w:spacing w:line="200" w:lineRule="exact"/>
              <w:jc w:val="center"/>
              <w:outlineLvl w:val="9"/>
              <w:rPr>
                <w:rFonts w:ascii="宋体" w:hAnsi="宋体" w:cs="宋体"/>
                <w:color w:val="000000"/>
                <w:kern w:val="0"/>
                <w:sz w:val="16"/>
                <w:szCs w:val="28"/>
              </w:rPr>
            </w:pPr>
          </w:p>
        </w:tc>
        <w:tc>
          <w:tcPr>
            <w:tcW w:w="4186" w:type="dxa"/>
            <w:tcBorders>
              <w:top w:val="single" w:color="auto" w:sz="4" w:space="0"/>
              <w:left w:val="single" w:color="auto" w:sz="4" w:space="0"/>
              <w:bottom w:val="single" w:color="auto" w:sz="4" w:space="0"/>
              <w:right w:val="single" w:color="auto" w:sz="4" w:space="0"/>
            </w:tcBorders>
            <w:noWrap w:val="0"/>
            <w:vAlign w:val="center"/>
          </w:tcPr>
          <w:p>
            <w:pPr>
              <w:widowControl/>
              <w:spacing w:line="200" w:lineRule="exact"/>
              <w:jc w:val="left"/>
              <w:outlineLvl w:val="9"/>
              <w:rPr>
                <w:rFonts w:ascii="宋体" w:hAnsi="宋体" w:cs="宋体"/>
                <w:color w:val="000000"/>
                <w:kern w:val="0"/>
                <w:sz w:val="16"/>
                <w:szCs w:val="28"/>
              </w:rPr>
            </w:pPr>
            <w:r>
              <w:rPr>
                <w:rFonts w:hint="eastAsia" w:ascii="宋体" w:hAnsi="宋体" w:cs="宋体"/>
                <w:color w:val="000000"/>
                <w:kern w:val="0"/>
                <w:sz w:val="16"/>
                <w:szCs w:val="28"/>
              </w:rPr>
              <w:t>举办或参加不少于</w:t>
            </w:r>
            <w:r>
              <w:rPr>
                <w:rFonts w:ascii="宋体" w:hAnsi="宋体" w:cs="宋体"/>
                <w:color w:val="000000"/>
                <w:kern w:val="0"/>
                <w:sz w:val="16"/>
                <w:szCs w:val="28"/>
              </w:rPr>
              <w:t>1</w:t>
            </w:r>
            <w:r>
              <w:rPr>
                <w:rFonts w:hint="eastAsia" w:ascii="宋体" w:hAnsi="宋体" w:cs="宋体"/>
                <w:color w:val="000000"/>
                <w:kern w:val="0"/>
                <w:sz w:val="16"/>
                <w:szCs w:val="28"/>
              </w:rPr>
              <w:t>次区域公共品牌展会</w:t>
            </w:r>
          </w:p>
        </w:tc>
        <w:tc>
          <w:tcPr>
            <w:tcW w:w="1459" w:type="dxa"/>
            <w:tcBorders>
              <w:top w:val="single" w:color="auto" w:sz="4" w:space="0"/>
              <w:left w:val="single" w:color="auto" w:sz="4" w:space="0"/>
              <w:bottom w:val="single" w:color="auto" w:sz="4" w:space="0"/>
              <w:right w:val="single" w:color="auto" w:sz="4" w:space="0"/>
            </w:tcBorders>
            <w:noWrap/>
            <w:vAlign w:val="center"/>
          </w:tcPr>
          <w:p>
            <w:pPr>
              <w:widowControl/>
              <w:spacing w:line="200" w:lineRule="exact"/>
              <w:ind w:left="0" w:leftChars="0" w:firstLine="0" w:firstLineChars="0"/>
              <w:jc w:val="both"/>
              <w:outlineLvl w:val="9"/>
              <w:rPr>
                <w:rFonts w:ascii="宋体" w:hAnsi="宋体" w:cs="宋体"/>
                <w:color w:val="000000"/>
                <w:kern w:val="0"/>
                <w:sz w:val="16"/>
                <w:szCs w:val="28"/>
              </w:rPr>
            </w:pPr>
            <w:r>
              <w:rPr>
                <w:rFonts w:ascii="宋体" w:hAnsi="宋体" w:cs="宋体"/>
                <w:color w:val="000000"/>
                <w:kern w:val="0"/>
                <w:sz w:val="16"/>
                <w:szCs w:val="28"/>
              </w:rPr>
              <w:t>2023</w:t>
            </w:r>
            <w:r>
              <w:rPr>
                <w:rFonts w:hint="eastAsia" w:ascii="宋体" w:hAnsi="宋体" w:cs="宋体"/>
                <w:color w:val="000000"/>
                <w:kern w:val="0"/>
                <w:sz w:val="16"/>
                <w:szCs w:val="28"/>
              </w:rPr>
              <w:t>年</w:t>
            </w:r>
            <w:r>
              <w:rPr>
                <w:rFonts w:ascii="宋体" w:hAnsi="宋体" w:cs="宋体"/>
                <w:color w:val="000000"/>
                <w:kern w:val="0"/>
                <w:sz w:val="16"/>
                <w:szCs w:val="28"/>
              </w:rPr>
              <w:t>11</w:t>
            </w:r>
            <w:r>
              <w:rPr>
                <w:rFonts w:hint="eastAsia" w:ascii="宋体" w:hAnsi="宋体" w:cs="宋体"/>
                <w:color w:val="000000"/>
                <w:kern w:val="0"/>
                <w:sz w:val="16"/>
                <w:szCs w:val="28"/>
              </w:rPr>
              <w:t>月底前</w:t>
            </w:r>
          </w:p>
        </w:tc>
        <w:tc>
          <w:tcPr>
            <w:tcW w:w="767" w:type="dxa"/>
            <w:vMerge w:val="continue"/>
            <w:tcBorders>
              <w:top w:val="single" w:color="auto" w:sz="8" w:space="0"/>
              <w:left w:val="single" w:color="auto" w:sz="4" w:space="0"/>
              <w:bottom w:val="single" w:color="auto" w:sz="4" w:space="0"/>
              <w:right w:val="single" w:color="auto" w:sz="4" w:space="0"/>
            </w:tcBorders>
            <w:noWrap w:val="0"/>
            <w:vAlign w:val="center"/>
          </w:tcPr>
          <w:p>
            <w:pPr>
              <w:widowControl/>
              <w:spacing w:line="200" w:lineRule="exact"/>
              <w:jc w:val="center"/>
              <w:outlineLvl w:val="9"/>
              <w:rPr>
                <w:rFonts w:ascii="宋体" w:hAnsi="宋体" w:cs="宋体"/>
                <w:color w:val="000000"/>
                <w:kern w:val="0"/>
                <w:sz w:val="16"/>
                <w:szCs w:val="28"/>
              </w:rPr>
            </w:pPr>
          </w:p>
        </w:tc>
        <w:tc>
          <w:tcPr>
            <w:tcW w:w="992" w:type="dxa"/>
            <w:vMerge w:val="continue"/>
            <w:tcBorders>
              <w:top w:val="single" w:color="auto" w:sz="8" w:space="0"/>
              <w:left w:val="nil"/>
              <w:bottom w:val="single" w:color="auto" w:sz="4" w:space="0"/>
              <w:right w:val="single" w:color="auto" w:sz="4" w:space="0"/>
            </w:tcBorders>
            <w:noWrap w:val="0"/>
            <w:vAlign w:val="center"/>
          </w:tcPr>
          <w:p>
            <w:pPr>
              <w:widowControl/>
              <w:spacing w:line="200" w:lineRule="exact"/>
              <w:jc w:val="center"/>
              <w:outlineLvl w:val="9"/>
              <w:rPr>
                <w:rFonts w:ascii="宋体" w:hAnsi="宋体" w:cs="宋体"/>
                <w:color w:val="000000"/>
                <w:kern w:val="0"/>
                <w:sz w:val="16"/>
                <w:szCs w:val="28"/>
              </w:rPr>
            </w:pPr>
          </w:p>
        </w:tc>
        <w:tc>
          <w:tcPr>
            <w:tcW w:w="781" w:type="dxa"/>
            <w:vMerge w:val="continue"/>
            <w:tcBorders>
              <w:top w:val="single" w:color="auto" w:sz="8" w:space="0"/>
              <w:left w:val="single" w:color="auto" w:sz="4" w:space="0"/>
              <w:bottom w:val="single" w:color="auto" w:sz="4" w:space="0"/>
              <w:right w:val="single" w:color="auto" w:sz="8" w:space="0"/>
            </w:tcBorders>
            <w:noWrap w:val="0"/>
            <w:vAlign w:val="center"/>
          </w:tcPr>
          <w:p>
            <w:pPr>
              <w:widowControl/>
              <w:spacing w:line="200" w:lineRule="exact"/>
              <w:jc w:val="center"/>
              <w:outlineLvl w:val="9"/>
              <w:rPr>
                <w:rFonts w:ascii="宋体" w:hAnsi="宋体" w:cs="宋体"/>
                <w:color w:val="000000"/>
                <w:kern w:val="0"/>
                <w:sz w:val="16"/>
                <w:szCs w:val="28"/>
              </w:rPr>
            </w:pPr>
          </w:p>
        </w:tc>
      </w:tr>
      <w:tr>
        <w:tblPrEx>
          <w:tblCellMar>
            <w:top w:w="0" w:type="dxa"/>
            <w:left w:w="108" w:type="dxa"/>
            <w:bottom w:w="0" w:type="dxa"/>
            <w:right w:w="108" w:type="dxa"/>
          </w:tblCellMar>
        </w:tblPrEx>
        <w:trPr>
          <w:trHeight w:val="384" w:hRule="atLeast"/>
          <w:jc w:val="center"/>
        </w:trPr>
        <w:tc>
          <w:tcPr>
            <w:tcW w:w="568" w:type="dxa"/>
            <w:vMerge w:val="restart"/>
            <w:tcBorders>
              <w:top w:val="single" w:color="auto" w:sz="8" w:space="0"/>
              <w:left w:val="single" w:color="auto" w:sz="8" w:space="0"/>
              <w:bottom w:val="single" w:color="auto" w:sz="4" w:space="0"/>
              <w:right w:val="nil"/>
            </w:tcBorders>
            <w:noWrap/>
            <w:vAlign w:val="center"/>
          </w:tcPr>
          <w:p>
            <w:pPr>
              <w:widowControl/>
              <w:spacing w:line="200" w:lineRule="exact"/>
              <w:ind w:left="0" w:leftChars="0" w:firstLine="0" w:firstLineChars="0"/>
              <w:jc w:val="center"/>
              <w:outlineLvl w:val="9"/>
              <w:rPr>
                <w:rFonts w:ascii="宋体" w:hAnsi="宋体" w:cs="宋体"/>
                <w:color w:val="000000"/>
                <w:kern w:val="0"/>
                <w:sz w:val="16"/>
                <w:szCs w:val="28"/>
              </w:rPr>
            </w:pPr>
            <w:r>
              <w:rPr>
                <w:rFonts w:ascii="宋体" w:hAnsi="宋体" w:cs="宋体"/>
                <w:color w:val="000000"/>
                <w:kern w:val="0"/>
                <w:sz w:val="16"/>
                <w:szCs w:val="28"/>
              </w:rPr>
              <w:t>4</w:t>
            </w:r>
          </w:p>
        </w:tc>
        <w:tc>
          <w:tcPr>
            <w:tcW w:w="912" w:type="dxa"/>
            <w:vMerge w:val="restart"/>
            <w:tcBorders>
              <w:top w:val="single" w:color="auto" w:sz="8" w:space="0"/>
              <w:left w:val="single" w:color="auto" w:sz="8" w:space="0"/>
              <w:bottom w:val="single" w:color="auto" w:sz="4" w:space="0"/>
              <w:right w:val="single" w:color="auto" w:sz="8" w:space="0"/>
            </w:tcBorders>
            <w:noWrap w:val="0"/>
            <w:vAlign w:val="center"/>
          </w:tcPr>
          <w:p>
            <w:pPr>
              <w:widowControl/>
              <w:spacing w:line="200" w:lineRule="exact"/>
              <w:ind w:left="0" w:leftChars="0" w:firstLine="0" w:firstLineChars="0"/>
              <w:jc w:val="center"/>
              <w:outlineLvl w:val="9"/>
              <w:rPr>
                <w:rFonts w:ascii="宋体" w:hAnsi="宋体" w:cs="宋体"/>
                <w:color w:val="000000"/>
                <w:kern w:val="0"/>
                <w:sz w:val="16"/>
                <w:szCs w:val="28"/>
              </w:rPr>
            </w:pPr>
            <w:r>
              <w:rPr>
                <w:rFonts w:hint="eastAsia" w:ascii="宋体" w:hAnsi="宋体" w:cs="宋体"/>
                <w:color w:val="000000"/>
                <w:kern w:val="0"/>
                <w:sz w:val="16"/>
                <w:szCs w:val="28"/>
              </w:rPr>
              <w:t>乡村</w:t>
            </w:r>
            <w:r>
              <w:rPr>
                <w:rFonts w:ascii="宋体" w:hAnsi="宋体" w:cs="宋体"/>
                <w:color w:val="000000"/>
                <w:kern w:val="0"/>
                <w:sz w:val="16"/>
                <w:szCs w:val="28"/>
              </w:rPr>
              <w:t>e</w:t>
            </w:r>
            <w:r>
              <w:rPr>
                <w:rFonts w:hint="eastAsia" w:ascii="宋体" w:hAnsi="宋体" w:cs="宋体"/>
                <w:color w:val="000000"/>
                <w:kern w:val="0"/>
                <w:sz w:val="16"/>
                <w:szCs w:val="28"/>
              </w:rPr>
              <w:t>镇</w:t>
            </w:r>
            <w:r>
              <w:rPr>
                <w:rFonts w:ascii="宋体" w:hAnsi="宋体" w:cs="宋体"/>
                <w:color w:val="000000"/>
                <w:kern w:val="0"/>
                <w:sz w:val="16"/>
                <w:szCs w:val="28"/>
              </w:rPr>
              <w:br w:type="textWrapping"/>
            </w:r>
            <w:r>
              <w:rPr>
                <w:rFonts w:hint="eastAsia" w:ascii="宋体" w:hAnsi="宋体" w:cs="宋体"/>
                <w:color w:val="000000"/>
                <w:kern w:val="0"/>
                <w:sz w:val="16"/>
                <w:szCs w:val="28"/>
              </w:rPr>
              <w:t>物流配送中心</w:t>
            </w:r>
          </w:p>
        </w:tc>
        <w:tc>
          <w:tcPr>
            <w:tcW w:w="4186" w:type="dxa"/>
            <w:tcBorders>
              <w:top w:val="single" w:color="auto" w:sz="4" w:space="0"/>
              <w:left w:val="nil"/>
              <w:bottom w:val="single" w:color="auto" w:sz="4" w:space="0"/>
              <w:right w:val="nil"/>
            </w:tcBorders>
            <w:noWrap w:val="0"/>
            <w:vAlign w:val="center"/>
          </w:tcPr>
          <w:p>
            <w:pPr>
              <w:widowControl/>
              <w:spacing w:line="200" w:lineRule="exact"/>
              <w:jc w:val="left"/>
              <w:outlineLvl w:val="9"/>
              <w:rPr>
                <w:rFonts w:ascii="宋体" w:hAnsi="宋体" w:cs="宋体"/>
                <w:color w:val="000000"/>
                <w:kern w:val="0"/>
                <w:sz w:val="16"/>
                <w:szCs w:val="28"/>
              </w:rPr>
            </w:pPr>
            <w:r>
              <w:rPr>
                <w:rFonts w:hint="eastAsia" w:ascii="宋体" w:hAnsi="宋体" w:cs="宋体"/>
                <w:color w:val="000000"/>
                <w:kern w:val="0"/>
                <w:sz w:val="16"/>
                <w:szCs w:val="28"/>
              </w:rPr>
              <w:t>完善物流共同配送机制，推动物流统仓共配</w:t>
            </w:r>
          </w:p>
        </w:tc>
        <w:tc>
          <w:tcPr>
            <w:tcW w:w="1459" w:type="dxa"/>
            <w:tcBorders>
              <w:top w:val="single" w:color="auto" w:sz="4" w:space="0"/>
              <w:left w:val="single" w:color="auto" w:sz="8" w:space="0"/>
              <w:bottom w:val="single" w:color="auto" w:sz="4" w:space="0"/>
              <w:right w:val="single" w:color="auto" w:sz="8" w:space="0"/>
            </w:tcBorders>
            <w:noWrap/>
            <w:vAlign w:val="center"/>
          </w:tcPr>
          <w:p>
            <w:pPr>
              <w:widowControl/>
              <w:spacing w:line="200" w:lineRule="exact"/>
              <w:ind w:left="0" w:leftChars="0" w:firstLine="0" w:firstLineChars="0"/>
              <w:jc w:val="both"/>
              <w:outlineLvl w:val="9"/>
              <w:rPr>
                <w:rFonts w:ascii="宋体" w:hAnsi="宋体" w:cs="宋体"/>
                <w:color w:val="000000"/>
                <w:kern w:val="0"/>
                <w:sz w:val="16"/>
                <w:szCs w:val="28"/>
              </w:rPr>
            </w:pPr>
            <w:r>
              <w:rPr>
                <w:rFonts w:ascii="宋体" w:hAnsi="宋体" w:cs="宋体"/>
                <w:color w:val="000000"/>
                <w:kern w:val="0"/>
                <w:sz w:val="16"/>
                <w:szCs w:val="28"/>
              </w:rPr>
              <w:t>2023</w:t>
            </w:r>
            <w:r>
              <w:rPr>
                <w:rFonts w:hint="eastAsia" w:ascii="宋体" w:hAnsi="宋体" w:cs="宋体"/>
                <w:color w:val="000000"/>
                <w:kern w:val="0"/>
                <w:sz w:val="16"/>
                <w:szCs w:val="28"/>
              </w:rPr>
              <w:t>年</w:t>
            </w:r>
            <w:r>
              <w:rPr>
                <w:rFonts w:ascii="宋体" w:hAnsi="宋体" w:cs="宋体"/>
                <w:color w:val="000000"/>
                <w:kern w:val="0"/>
                <w:sz w:val="16"/>
                <w:szCs w:val="28"/>
              </w:rPr>
              <w:t>11</w:t>
            </w:r>
            <w:r>
              <w:rPr>
                <w:rFonts w:hint="eastAsia" w:ascii="宋体" w:hAnsi="宋体" w:cs="宋体"/>
                <w:color w:val="000000"/>
                <w:kern w:val="0"/>
                <w:sz w:val="16"/>
                <w:szCs w:val="28"/>
              </w:rPr>
              <w:t>月底前</w:t>
            </w:r>
          </w:p>
        </w:tc>
        <w:tc>
          <w:tcPr>
            <w:tcW w:w="767" w:type="dxa"/>
            <w:vMerge w:val="restart"/>
            <w:tcBorders>
              <w:top w:val="single" w:color="auto" w:sz="8" w:space="0"/>
              <w:left w:val="single" w:color="auto" w:sz="4" w:space="0"/>
              <w:bottom w:val="single" w:color="auto" w:sz="4" w:space="0"/>
              <w:right w:val="single" w:color="auto" w:sz="4" w:space="0"/>
            </w:tcBorders>
            <w:noWrap/>
            <w:vAlign w:val="center"/>
          </w:tcPr>
          <w:p>
            <w:pPr>
              <w:widowControl/>
              <w:spacing w:line="200" w:lineRule="exact"/>
              <w:ind w:left="0" w:leftChars="0" w:firstLine="0" w:firstLineChars="0"/>
              <w:jc w:val="center"/>
              <w:outlineLvl w:val="9"/>
              <w:rPr>
                <w:rFonts w:ascii="宋体" w:hAnsi="宋体" w:cs="宋体"/>
                <w:color w:val="000000"/>
                <w:kern w:val="0"/>
                <w:sz w:val="16"/>
                <w:szCs w:val="28"/>
              </w:rPr>
            </w:pPr>
            <w:r>
              <w:rPr>
                <w:rFonts w:ascii="宋体" w:hAnsi="宋体" w:cs="宋体"/>
                <w:color w:val="000000"/>
                <w:kern w:val="0"/>
                <w:sz w:val="16"/>
                <w:szCs w:val="28"/>
              </w:rPr>
              <w:t>70</w:t>
            </w:r>
          </w:p>
        </w:tc>
        <w:tc>
          <w:tcPr>
            <w:tcW w:w="992" w:type="dxa"/>
            <w:vMerge w:val="restart"/>
            <w:tcBorders>
              <w:top w:val="single" w:color="auto" w:sz="8" w:space="0"/>
              <w:left w:val="nil"/>
              <w:bottom w:val="single" w:color="auto" w:sz="4" w:space="0"/>
              <w:right w:val="single" w:color="auto" w:sz="4" w:space="0"/>
            </w:tcBorders>
            <w:noWrap/>
            <w:vAlign w:val="center"/>
          </w:tcPr>
          <w:p>
            <w:pPr>
              <w:widowControl/>
              <w:spacing w:line="200" w:lineRule="exact"/>
              <w:ind w:left="0" w:leftChars="0" w:firstLine="0" w:firstLineChars="0"/>
              <w:jc w:val="center"/>
              <w:outlineLvl w:val="9"/>
              <w:rPr>
                <w:rFonts w:ascii="宋体" w:hAnsi="宋体" w:cs="宋体"/>
                <w:color w:val="000000"/>
                <w:kern w:val="0"/>
                <w:sz w:val="16"/>
                <w:szCs w:val="28"/>
              </w:rPr>
            </w:pPr>
            <w:r>
              <w:rPr>
                <w:rFonts w:ascii="宋体" w:hAnsi="宋体" w:cs="宋体"/>
                <w:color w:val="000000"/>
                <w:kern w:val="0"/>
                <w:sz w:val="16"/>
                <w:szCs w:val="28"/>
              </w:rPr>
              <w:t>30</w:t>
            </w:r>
          </w:p>
        </w:tc>
        <w:tc>
          <w:tcPr>
            <w:tcW w:w="781" w:type="dxa"/>
            <w:vMerge w:val="restart"/>
            <w:tcBorders>
              <w:top w:val="single" w:color="auto" w:sz="8" w:space="0"/>
              <w:left w:val="single" w:color="auto" w:sz="4" w:space="0"/>
              <w:bottom w:val="single" w:color="auto" w:sz="4" w:space="0"/>
              <w:right w:val="single" w:color="auto" w:sz="8" w:space="0"/>
            </w:tcBorders>
            <w:noWrap/>
            <w:vAlign w:val="center"/>
          </w:tcPr>
          <w:p>
            <w:pPr>
              <w:widowControl/>
              <w:spacing w:line="200" w:lineRule="exact"/>
              <w:ind w:left="0" w:leftChars="0" w:firstLine="0" w:firstLineChars="0"/>
              <w:jc w:val="center"/>
              <w:outlineLvl w:val="9"/>
              <w:rPr>
                <w:rFonts w:ascii="宋体" w:hAnsi="宋体" w:cs="宋体"/>
                <w:color w:val="000000"/>
                <w:kern w:val="0"/>
                <w:sz w:val="16"/>
                <w:szCs w:val="28"/>
              </w:rPr>
            </w:pPr>
            <w:r>
              <w:rPr>
                <w:rFonts w:ascii="宋体" w:hAnsi="宋体" w:cs="宋体"/>
                <w:color w:val="000000"/>
                <w:kern w:val="0"/>
                <w:sz w:val="16"/>
                <w:szCs w:val="28"/>
              </w:rPr>
              <w:t>100</w:t>
            </w:r>
          </w:p>
        </w:tc>
      </w:tr>
      <w:tr>
        <w:tblPrEx>
          <w:tblCellMar>
            <w:top w:w="0" w:type="dxa"/>
            <w:left w:w="108" w:type="dxa"/>
            <w:bottom w:w="0" w:type="dxa"/>
            <w:right w:w="108" w:type="dxa"/>
          </w:tblCellMar>
        </w:tblPrEx>
        <w:trPr>
          <w:trHeight w:val="318" w:hRule="atLeast"/>
          <w:jc w:val="center"/>
        </w:trPr>
        <w:tc>
          <w:tcPr>
            <w:tcW w:w="568" w:type="dxa"/>
            <w:vMerge w:val="continue"/>
            <w:tcBorders>
              <w:top w:val="single" w:color="auto" w:sz="8" w:space="0"/>
              <w:left w:val="single" w:color="auto" w:sz="8" w:space="0"/>
              <w:bottom w:val="single" w:color="auto" w:sz="4" w:space="0"/>
              <w:right w:val="nil"/>
            </w:tcBorders>
            <w:noWrap w:val="0"/>
            <w:vAlign w:val="center"/>
          </w:tcPr>
          <w:p>
            <w:pPr>
              <w:widowControl/>
              <w:spacing w:line="200" w:lineRule="exact"/>
              <w:jc w:val="center"/>
              <w:outlineLvl w:val="9"/>
              <w:rPr>
                <w:rFonts w:ascii="宋体" w:hAnsi="宋体" w:cs="宋体"/>
                <w:color w:val="000000"/>
                <w:kern w:val="0"/>
                <w:sz w:val="16"/>
                <w:szCs w:val="28"/>
              </w:rPr>
            </w:pPr>
          </w:p>
        </w:tc>
        <w:tc>
          <w:tcPr>
            <w:tcW w:w="912" w:type="dxa"/>
            <w:vMerge w:val="continue"/>
            <w:tcBorders>
              <w:top w:val="single" w:color="auto" w:sz="8" w:space="0"/>
              <w:left w:val="single" w:color="auto" w:sz="8" w:space="0"/>
              <w:bottom w:val="single" w:color="auto" w:sz="4" w:space="0"/>
              <w:right w:val="single" w:color="auto" w:sz="8" w:space="0"/>
            </w:tcBorders>
            <w:noWrap w:val="0"/>
            <w:vAlign w:val="center"/>
          </w:tcPr>
          <w:p>
            <w:pPr>
              <w:widowControl/>
              <w:spacing w:line="200" w:lineRule="exact"/>
              <w:jc w:val="center"/>
              <w:outlineLvl w:val="9"/>
              <w:rPr>
                <w:rFonts w:ascii="宋体" w:hAnsi="宋体" w:cs="宋体"/>
                <w:color w:val="000000"/>
                <w:kern w:val="0"/>
                <w:sz w:val="16"/>
                <w:szCs w:val="28"/>
              </w:rPr>
            </w:pPr>
          </w:p>
        </w:tc>
        <w:tc>
          <w:tcPr>
            <w:tcW w:w="4186" w:type="dxa"/>
            <w:tcBorders>
              <w:top w:val="nil"/>
              <w:left w:val="nil"/>
              <w:bottom w:val="nil"/>
              <w:right w:val="nil"/>
            </w:tcBorders>
            <w:noWrap w:val="0"/>
            <w:vAlign w:val="center"/>
          </w:tcPr>
          <w:p>
            <w:pPr>
              <w:widowControl/>
              <w:spacing w:line="200" w:lineRule="exact"/>
              <w:jc w:val="left"/>
              <w:outlineLvl w:val="9"/>
              <w:rPr>
                <w:rFonts w:ascii="宋体" w:hAnsi="宋体" w:cs="宋体"/>
                <w:color w:val="000000"/>
                <w:kern w:val="0"/>
                <w:sz w:val="16"/>
                <w:szCs w:val="28"/>
              </w:rPr>
            </w:pPr>
            <w:r>
              <w:rPr>
                <w:rFonts w:hint="eastAsia" w:ascii="宋体" w:hAnsi="宋体" w:cs="宋体"/>
                <w:color w:val="000000"/>
                <w:kern w:val="0"/>
                <w:sz w:val="16"/>
                <w:szCs w:val="28"/>
              </w:rPr>
              <w:t>建立</w:t>
            </w:r>
            <w:r>
              <w:rPr>
                <w:rFonts w:ascii="宋体" w:hAnsi="宋体" w:cs="宋体"/>
                <w:color w:val="000000"/>
                <w:kern w:val="0"/>
                <w:sz w:val="16"/>
                <w:szCs w:val="28"/>
              </w:rPr>
              <w:t>1</w:t>
            </w:r>
            <w:r>
              <w:rPr>
                <w:rFonts w:hint="eastAsia" w:ascii="宋体" w:hAnsi="宋体" w:cs="宋体"/>
                <w:color w:val="000000"/>
                <w:kern w:val="0"/>
                <w:sz w:val="16"/>
                <w:szCs w:val="28"/>
              </w:rPr>
              <w:t>个物流配送中心</w:t>
            </w:r>
          </w:p>
        </w:tc>
        <w:tc>
          <w:tcPr>
            <w:tcW w:w="1459" w:type="dxa"/>
            <w:tcBorders>
              <w:top w:val="nil"/>
              <w:left w:val="single" w:color="auto" w:sz="8" w:space="0"/>
              <w:bottom w:val="nil"/>
              <w:right w:val="single" w:color="auto" w:sz="8" w:space="0"/>
            </w:tcBorders>
            <w:noWrap/>
            <w:vAlign w:val="center"/>
          </w:tcPr>
          <w:p>
            <w:pPr>
              <w:widowControl/>
              <w:spacing w:line="200" w:lineRule="exact"/>
              <w:ind w:left="0" w:leftChars="0" w:firstLine="0" w:firstLineChars="0"/>
              <w:jc w:val="both"/>
              <w:outlineLvl w:val="9"/>
              <w:rPr>
                <w:rFonts w:ascii="宋体" w:hAnsi="宋体" w:cs="宋体"/>
                <w:color w:val="000000"/>
                <w:kern w:val="0"/>
                <w:sz w:val="16"/>
                <w:szCs w:val="28"/>
              </w:rPr>
            </w:pPr>
            <w:r>
              <w:rPr>
                <w:rFonts w:ascii="宋体" w:hAnsi="宋体" w:cs="宋体"/>
                <w:color w:val="000000"/>
                <w:kern w:val="0"/>
                <w:sz w:val="16"/>
                <w:szCs w:val="28"/>
              </w:rPr>
              <w:t>2023</w:t>
            </w:r>
            <w:r>
              <w:rPr>
                <w:rFonts w:hint="eastAsia" w:ascii="宋体" w:hAnsi="宋体" w:cs="宋体"/>
                <w:color w:val="000000"/>
                <w:kern w:val="0"/>
                <w:sz w:val="16"/>
                <w:szCs w:val="28"/>
              </w:rPr>
              <w:t>年</w:t>
            </w:r>
            <w:r>
              <w:rPr>
                <w:rFonts w:ascii="宋体" w:hAnsi="宋体" w:cs="宋体"/>
                <w:color w:val="000000"/>
                <w:kern w:val="0"/>
                <w:sz w:val="16"/>
                <w:szCs w:val="28"/>
              </w:rPr>
              <w:t>11</w:t>
            </w:r>
            <w:r>
              <w:rPr>
                <w:rFonts w:hint="eastAsia" w:ascii="宋体" w:hAnsi="宋体" w:cs="宋体"/>
                <w:color w:val="000000"/>
                <w:kern w:val="0"/>
                <w:sz w:val="16"/>
                <w:szCs w:val="28"/>
              </w:rPr>
              <w:t>月底前</w:t>
            </w:r>
          </w:p>
        </w:tc>
        <w:tc>
          <w:tcPr>
            <w:tcW w:w="767" w:type="dxa"/>
            <w:vMerge w:val="continue"/>
            <w:tcBorders>
              <w:top w:val="single" w:color="auto" w:sz="8" w:space="0"/>
              <w:left w:val="single" w:color="auto" w:sz="4" w:space="0"/>
              <w:bottom w:val="single" w:color="auto" w:sz="4" w:space="0"/>
              <w:right w:val="single" w:color="auto" w:sz="4" w:space="0"/>
            </w:tcBorders>
            <w:noWrap w:val="0"/>
            <w:vAlign w:val="center"/>
          </w:tcPr>
          <w:p>
            <w:pPr>
              <w:widowControl/>
              <w:spacing w:line="200" w:lineRule="exact"/>
              <w:jc w:val="center"/>
              <w:outlineLvl w:val="9"/>
              <w:rPr>
                <w:rFonts w:ascii="宋体" w:hAnsi="宋体" w:cs="宋体"/>
                <w:color w:val="000000"/>
                <w:kern w:val="0"/>
                <w:sz w:val="16"/>
                <w:szCs w:val="28"/>
              </w:rPr>
            </w:pPr>
          </w:p>
        </w:tc>
        <w:tc>
          <w:tcPr>
            <w:tcW w:w="992" w:type="dxa"/>
            <w:vMerge w:val="continue"/>
            <w:tcBorders>
              <w:top w:val="single" w:color="auto" w:sz="8" w:space="0"/>
              <w:left w:val="nil"/>
              <w:bottom w:val="single" w:color="auto" w:sz="4" w:space="0"/>
              <w:right w:val="single" w:color="auto" w:sz="4" w:space="0"/>
            </w:tcBorders>
            <w:noWrap w:val="0"/>
            <w:vAlign w:val="center"/>
          </w:tcPr>
          <w:p>
            <w:pPr>
              <w:widowControl/>
              <w:spacing w:line="200" w:lineRule="exact"/>
              <w:jc w:val="center"/>
              <w:outlineLvl w:val="9"/>
              <w:rPr>
                <w:rFonts w:ascii="宋体" w:hAnsi="宋体" w:cs="宋体"/>
                <w:color w:val="000000"/>
                <w:kern w:val="0"/>
                <w:sz w:val="16"/>
                <w:szCs w:val="28"/>
              </w:rPr>
            </w:pPr>
          </w:p>
        </w:tc>
        <w:tc>
          <w:tcPr>
            <w:tcW w:w="781" w:type="dxa"/>
            <w:vMerge w:val="continue"/>
            <w:tcBorders>
              <w:top w:val="single" w:color="auto" w:sz="8" w:space="0"/>
              <w:left w:val="single" w:color="auto" w:sz="4" w:space="0"/>
              <w:bottom w:val="single" w:color="auto" w:sz="4" w:space="0"/>
              <w:right w:val="single" w:color="auto" w:sz="8" w:space="0"/>
            </w:tcBorders>
            <w:noWrap w:val="0"/>
            <w:vAlign w:val="center"/>
          </w:tcPr>
          <w:p>
            <w:pPr>
              <w:widowControl/>
              <w:spacing w:line="200" w:lineRule="exact"/>
              <w:jc w:val="center"/>
              <w:outlineLvl w:val="9"/>
              <w:rPr>
                <w:rFonts w:ascii="宋体" w:hAnsi="宋体" w:cs="宋体"/>
                <w:color w:val="000000"/>
                <w:kern w:val="0"/>
                <w:sz w:val="16"/>
                <w:szCs w:val="28"/>
              </w:rPr>
            </w:pPr>
          </w:p>
        </w:tc>
      </w:tr>
      <w:tr>
        <w:tblPrEx>
          <w:tblCellMar>
            <w:top w:w="0" w:type="dxa"/>
            <w:left w:w="108" w:type="dxa"/>
            <w:bottom w:w="0" w:type="dxa"/>
            <w:right w:w="108" w:type="dxa"/>
          </w:tblCellMar>
        </w:tblPrEx>
        <w:trPr>
          <w:trHeight w:val="298" w:hRule="atLeast"/>
          <w:jc w:val="center"/>
        </w:trPr>
        <w:tc>
          <w:tcPr>
            <w:tcW w:w="568" w:type="dxa"/>
            <w:vMerge w:val="restart"/>
            <w:tcBorders>
              <w:top w:val="single" w:color="auto" w:sz="8" w:space="0"/>
              <w:left w:val="single" w:color="auto" w:sz="8" w:space="0"/>
              <w:bottom w:val="single" w:color="000000" w:sz="8" w:space="0"/>
              <w:right w:val="nil"/>
            </w:tcBorders>
            <w:noWrap/>
            <w:vAlign w:val="center"/>
          </w:tcPr>
          <w:p>
            <w:pPr>
              <w:widowControl/>
              <w:spacing w:line="200" w:lineRule="exact"/>
              <w:ind w:left="0" w:leftChars="0" w:firstLine="0" w:firstLineChars="0"/>
              <w:jc w:val="center"/>
              <w:outlineLvl w:val="9"/>
              <w:rPr>
                <w:rFonts w:ascii="宋体" w:hAnsi="宋体" w:cs="宋体"/>
                <w:color w:val="000000"/>
                <w:kern w:val="0"/>
                <w:sz w:val="16"/>
                <w:szCs w:val="28"/>
              </w:rPr>
            </w:pPr>
            <w:r>
              <w:rPr>
                <w:rFonts w:ascii="宋体" w:hAnsi="宋体" w:cs="宋体"/>
                <w:color w:val="000000"/>
                <w:kern w:val="0"/>
                <w:sz w:val="16"/>
                <w:szCs w:val="28"/>
              </w:rPr>
              <w:t>5</w:t>
            </w:r>
          </w:p>
        </w:tc>
        <w:tc>
          <w:tcPr>
            <w:tcW w:w="912" w:type="dxa"/>
            <w:vMerge w:val="restart"/>
            <w:tcBorders>
              <w:top w:val="single" w:color="auto" w:sz="8" w:space="0"/>
              <w:left w:val="single" w:color="auto" w:sz="8" w:space="0"/>
              <w:bottom w:val="single" w:color="000000" w:sz="8" w:space="0"/>
              <w:right w:val="single" w:color="auto" w:sz="8" w:space="0"/>
            </w:tcBorders>
            <w:noWrap w:val="0"/>
            <w:vAlign w:val="center"/>
          </w:tcPr>
          <w:p>
            <w:pPr>
              <w:widowControl/>
              <w:spacing w:line="200" w:lineRule="exact"/>
              <w:ind w:left="0" w:leftChars="0" w:firstLine="0" w:firstLineChars="0"/>
              <w:jc w:val="center"/>
              <w:outlineLvl w:val="9"/>
              <w:rPr>
                <w:rFonts w:ascii="宋体" w:hAnsi="宋体" w:cs="宋体"/>
                <w:color w:val="000000"/>
                <w:kern w:val="0"/>
                <w:sz w:val="16"/>
                <w:szCs w:val="28"/>
              </w:rPr>
            </w:pPr>
            <w:r>
              <w:rPr>
                <w:rFonts w:hint="eastAsia" w:ascii="宋体" w:hAnsi="宋体" w:cs="宋体"/>
                <w:color w:val="000000"/>
                <w:kern w:val="0"/>
                <w:sz w:val="16"/>
                <w:szCs w:val="28"/>
              </w:rPr>
              <w:t>乡村</w:t>
            </w:r>
            <w:r>
              <w:rPr>
                <w:rFonts w:ascii="宋体" w:hAnsi="宋体" w:cs="宋体"/>
                <w:color w:val="000000"/>
                <w:kern w:val="0"/>
                <w:sz w:val="16"/>
                <w:szCs w:val="28"/>
              </w:rPr>
              <w:t>e</w:t>
            </w:r>
            <w:r>
              <w:rPr>
                <w:rFonts w:hint="eastAsia" w:ascii="宋体" w:hAnsi="宋体" w:cs="宋体"/>
                <w:color w:val="000000"/>
                <w:kern w:val="0"/>
                <w:sz w:val="16"/>
                <w:szCs w:val="28"/>
              </w:rPr>
              <w:t>镇</w:t>
            </w:r>
            <w:r>
              <w:rPr>
                <w:rFonts w:ascii="宋体" w:hAnsi="宋体" w:cs="宋体"/>
                <w:color w:val="000000"/>
                <w:kern w:val="0"/>
                <w:sz w:val="16"/>
                <w:szCs w:val="28"/>
              </w:rPr>
              <w:br w:type="textWrapping"/>
            </w:r>
            <w:r>
              <w:rPr>
                <w:rFonts w:hint="eastAsia" w:ascii="宋体" w:hAnsi="宋体" w:cs="宋体"/>
                <w:color w:val="000000"/>
                <w:kern w:val="0"/>
                <w:sz w:val="16"/>
                <w:szCs w:val="28"/>
              </w:rPr>
              <w:t>商业带头人培训建设</w:t>
            </w:r>
          </w:p>
        </w:tc>
        <w:tc>
          <w:tcPr>
            <w:tcW w:w="4186" w:type="dxa"/>
            <w:tcBorders>
              <w:top w:val="single" w:color="auto" w:sz="8" w:space="0"/>
              <w:left w:val="nil"/>
              <w:bottom w:val="single" w:color="auto" w:sz="4" w:space="0"/>
              <w:right w:val="nil"/>
            </w:tcBorders>
            <w:noWrap w:val="0"/>
            <w:vAlign w:val="center"/>
          </w:tcPr>
          <w:p>
            <w:pPr>
              <w:widowControl/>
              <w:spacing w:line="200" w:lineRule="exact"/>
              <w:jc w:val="left"/>
              <w:outlineLvl w:val="9"/>
              <w:rPr>
                <w:rFonts w:ascii="宋体" w:hAnsi="宋体" w:cs="宋体"/>
                <w:color w:val="000000"/>
                <w:kern w:val="0"/>
                <w:sz w:val="16"/>
                <w:szCs w:val="28"/>
              </w:rPr>
            </w:pPr>
            <w:r>
              <w:rPr>
                <w:rFonts w:hint="eastAsia" w:ascii="宋体" w:hAnsi="宋体" w:cs="宋体"/>
                <w:color w:val="000000"/>
                <w:kern w:val="0"/>
                <w:sz w:val="16"/>
                <w:szCs w:val="28"/>
              </w:rPr>
              <w:t>引进</w:t>
            </w:r>
            <w:r>
              <w:rPr>
                <w:rFonts w:ascii="宋体" w:hAnsi="宋体" w:cs="宋体"/>
                <w:color w:val="000000"/>
                <w:kern w:val="0"/>
                <w:sz w:val="16"/>
                <w:szCs w:val="28"/>
              </w:rPr>
              <w:t>1</w:t>
            </w:r>
            <w:r>
              <w:rPr>
                <w:rFonts w:hint="eastAsia" w:ascii="宋体" w:hAnsi="宋体" w:cs="宋体"/>
                <w:color w:val="000000"/>
                <w:kern w:val="0"/>
                <w:sz w:val="16"/>
                <w:szCs w:val="28"/>
              </w:rPr>
              <w:t>家电商培训机构，聘用专家</w:t>
            </w:r>
            <w:r>
              <w:rPr>
                <w:rFonts w:ascii="宋体" w:hAnsi="宋体" w:cs="宋体"/>
                <w:color w:val="000000"/>
                <w:kern w:val="0"/>
                <w:sz w:val="16"/>
                <w:szCs w:val="28"/>
              </w:rPr>
              <w:t>5</w:t>
            </w:r>
            <w:r>
              <w:rPr>
                <w:rFonts w:hint="eastAsia" w:ascii="宋体" w:hAnsi="宋体" w:cs="宋体"/>
                <w:color w:val="000000"/>
                <w:kern w:val="0"/>
                <w:sz w:val="16"/>
                <w:szCs w:val="28"/>
              </w:rPr>
              <w:t>人以上</w:t>
            </w:r>
          </w:p>
        </w:tc>
        <w:tc>
          <w:tcPr>
            <w:tcW w:w="1459" w:type="dxa"/>
            <w:tcBorders>
              <w:top w:val="single" w:color="auto" w:sz="8" w:space="0"/>
              <w:left w:val="single" w:color="auto" w:sz="8" w:space="0"/>
              <w:bottom w:val="single" w:color="auto" w:sz="4" w:space="0"/>
              <w:right w:val="single" w:color="auto" w:sz="8" w:space="0"/>
            </w:tcBorders>
            <w:noWrap/>
            <w:vAlign w:val="center"/>
          </w:tcPr>
          <w:p>
            <w:pPr>
              <w:widowControl/>
              <w:spacing w:line="200" w:lineRule="exact"/>
              <w:ind w:left="0" w:leftChars="0" w:firstLine="0" w:firstLineChars="0"/>
              <w:jc w:val="both"/>
              <w:outlineLvl w:val="9"/>
              <w:rPr>
                <w:rFonts w:ascii="宋体" w:hAnsi="宋体" w:cs="宋体"/>
                <w:color w:val="000000"/>
                <w:kern w:val="0"/>
                <w:sz w:val="16"/>
                <w:szCs w:val="28"/>
              </w:rPr>
            </w:pPr>
            <w:r>
              <w:rPr>
                <w:rFonts w:ascii="宋体" w:hAnsi="宋体" w:cs="宋体"/>
                <w:color w:val="000000"/>
                <w:kern w:val="0"/>
                <w:sz w:val="16"/>
                <w:szCs w:val="28"/>
              </w:rPr>
              <w:t>2023</w:t>
            </w:r>
            <w:r>
              <w:rPr>
                <w:rFonts w:hint="eastAsia" w:ascii="宋体" w:hAnsi="宋体" w:cs="宋体"/>
                <w:color w:val="000000"/>
                <w:kern w:val="0"/>
                <w:sz w:val="16"/>
                <w:szCs w:val="28"/>
              </w:rPr>
              <w:t>年</w:t>
            </w:r>
            <w:r>
              <w:rPr>
                <w:rFonts w:ascii="宋体" w:hAnsi="宋体" w:cs="宋体"/>
                <w:color w:val="000000"/>
                <w:kern w:val="0"/>
                <w:sz w:val="16"/>
                <w:szCs w:val="28"/>
              </w:rPr>
              <w:t>11</w:t>
            </w:r>
            <w:r>
              <w:rPr>
                <w:rFonts w:hint="eastAsia" w:ascii="宋体" w:hAnsi="宋体" w:cs="宋体"/>
                <w:color w:val="000000"/>
                <w:kern w:val="0"/>
                <w:sz w:val="16"/>
                <w:szCs w:val="28"/>
              </w:rPr>
              <w:t>月底前</w:t>
            </w:r>
          </w:p>
        </w:tc>
        <w:tc>
          <w:tcPr>
            <w:tcW w:w="767" w:type="dxa"/>
            <w:vMerge w:val="restart"/>
            <w:tcBorders>
              <w:top w:val="single" w:color="auto" w:sz="8" w:space="0"/>
              <w:left w:val="single" w:color="auto" w:sz="4" w:space="0"/>
              <w:bottom w:val="single" w:color="000000" w:sz="8" w:space="0"/>
              <w:right w:val="single" w:color="auto" w:sz="4" w:space="0"/>
            </w:tcBorders>
            <w:noWrap/>
            <w:vAlign w:val="center"/>
          </w:tcPr>
          <w:p>
            <w:pPr>
              <w:widowControl/>
              <w:spacing w:line="200" w:lineRule="exact"/>
              <w:ind w:left="0" w:leftChars="0" w:firstLine="0" w:firstLineChars="0"/>
              <w:jc w:val="center"/>
              <w:outlineLvl w:val="9"/>
              <w:rPr>
                <w:rFonts w:ascii="宋体" w:hAnsi="宋体" w:cs="宋体"/>
                <w:color w:val="000000"/>
                <w:kern w:val="0"/>
                <w:sz w:val="16"/>
                <w:szCs w:val="28"/>
              </w:rPr>
            </w:pPr>
            <w:r>
              <w:rPr>
                <w:rFonts w:ascii="宋体" w:hAnsi="宋体" w:cs="宋体"/>
                <w:color w:val="000000"/>
                <w:kern w:val="0"/>
                <w:sz w:val="16"/>
                <w:szCs w:val="28"/>
              </w:rPr>
              <w:t>110</w:t>
            </w:r>
          </w:p>
        </w:tc>
        <w:tc>
          <w:tcPr>
            <w:tcW w:w="992" w:type="dxa"/>
            <w:vMerge w:val="restart"/>
            <w:tcBorders>
              <w:top w:val="single" w:color="auto" w:sz="8" w:space="0"/>
              <w:left w:val="nil"/>
              <w:bottom w:val="single" w:color="000000" w:sz="8" w:space="0"/>
              <w:right w:val="single" w:color="auto" w:sz="4" w:space="0"/>
            </w:tcBorders>
            <w:noWrap/>
            <w:vAlign w:val="center"/>
          </w:tcPr>
          <w:p>
            <w:pPr>
              <w:widowControl/>
              <w:spacing w:line="200" w:lineRule="exact"/>
              <w:ind w:left="0" w:leftChars="0" w:firstLine="0" w:firstLineChars="0"/>
              <w:jc w:val="center"/>
              <w:outlineLvl w:val="9"/>
              <w:rPr>
                <w:rFonts w:ascii="宋体" w:hAnsi="宋体" w:cs="宋体"/>
                <w:color w:val="000000"/>
                <w:kern w:val="0"/>
                <w:sz w:val="16"/>
                <w:szCs w:val="28"/>
              </w:rPr>
            </w:pPr>
            <w:r>
              <w:rPr>
                <w:rFonts w:ascii="宋体" w:hAnsi="宋体" w:cs="宋体"/>
                <w:color w:val="000000"/>
                <w:kern w:val="0"/>
                <w:sz w:val="16"/>
                <w:szCs w:val="28"/>
              </w:rPr>
              <w:t>0</w:t>
            </w:r>
          </w:p>
        </w:tc>
        <w:tc>
          <w:tcPr>
            <w:tcW w:w="781" w:type="dxa"/>
            <w:vMerge w:val="restart"/>
            <w:tcBorders>
              <w:top w:val="single" w:color="auto" w:sz="8" w:space="0"/>
              <w:left w:val="single" w:color="auto" w:sz="4" w:space="0"/>
              <w:bottom w:val="single" w:color="000000" w:sz="8" w:space="0"/>
              <w:right w:val="single" w:color="auto" w:sz="8" w:space="0"/>
            </w:tcBorders>
            <w:noWrap/>
            <w:vAlign w:val="center"/>
          </w:tcPr>
          <w:p>
            <w:pPr>
              <w:widowControl/>
              <w:spacing w:line="200" w:lineRule="exact"/>
              <w:ind w:left="0" w:leftChars="0" w:firstLine="0" w:firstLineChars="0"/>
              <w:jc w:val="center"/>
              <w:outlineLvl w:val="9"/>
              <w:rPr>
                <w:rFonts w:ascii="宋体" w:hAnsi="宋体" w:cs="宋体"/>
                <w:color w:val="000000"/>
                <w:kern w:val="0"/>
                <w:sz w:val="16"/>
                <w:szCs w:val="28"/>
              </w:rPr>
            </w:pPr>
            <w:r>
              <w:rPr>
                <w:rFonts w:ascii="宋体" w:hAnsi="宋体" w:cs="宋体"/>
                <w:color w:val="000000"/>
                <w:kern w:val="0"/>
                <w:sz w:val="16"/>
                <w:szCs w:val="28"/>
              </w:rPr>
              <w:t>110</w:t>
            </w:r>
          </w:p>
        </w:tc>
      </w:tr>
      <w:tr>
        <w:tblPrEx>
          <w:tblCellMar>
            <w:top w:w="0" w:type="dxa"/>
            <w:left w:w="108" w:type="dxa"/>
            <w:bottom w:w="0" w:type="dxa"/>
            <w:right w:w="108" w:type="dxa"/>
          </w:tblCellMar>
        </w:tblPrEx>
        <w:trPr>
          <w:trHeight w:val="298" w:hRule="atLeast"/>
          <w:jc w:val="center"/>
        </w:trPr>
        <w:tc>
          <w:tcPr>
            <w:tcW w:w="568" w:type="dxa"/>
            <w:vMerge w:val="continue"/>
            <w:tcBorders>
              <w:top w:val="single" w:color="auto" w:sz="8" w:space="0"/>
              <w:left w:val="single" w:color="auto" w:sz="8" w:space="0"/>
              <w:bottom w:val="single" w:color="000000" w:sz="8" w:space="0"/>
              <w:right w:val="nil"/>
            </w:tcBorders>
            <w:noWrap w:val="0"/>
            <w:vAlign w:val="center"/>
          </w:tcPr>
          <w:p>
            <w:pPr>
              <w:widowControl/>
              <w:spacing w:line="200" w:lineRule="exact"/>
              <w:jc w:val="left"/>
              <w:outlineLvl w:val="9"/>
              <w:rPr>
                <w:rFonts w:ascii="宋体" w:hAnsi="宋体" w:cs="宋体"/>
                <w:color w:val="000000"/>
                <w:kern w:val="0"/>
                <w:sz w:val="16"/>
                <w:szCs w:val="28"/>
              </w:rPr>
            </w:pPr>
          </w:p>
        </w:tc>
        <w:tc>
          <w:tcPr>
            <w:tcW w:w="912" w:type="dxa"/>
            <w:vMerge w:val="continue"/>
            <w:tcBorders>
              <w:top w:val="single" w:color="auto" w:sz="8" w:space="0"/>
              <w:left w:val="single" w:color="auto" w:sz="8" w:space="0"/>
              <w:bottom w:val="single" w:color="000000" w:sz="8" w:space="0"/>
              <w:right w:val="single" w:color="auto" w:sz="8" w:space="0"/>
            </w:tcBorders>
            <w:noWrap w:val="0"/>
            <w:vAlign w:val="center"/>
          </w:tcPr>
          <w:p>
            <w:pPr>
              <w:widowControl/>
              <w:spacing w:line="200" w:lineRule="exact"/>
              <w:jc w:val="left"/>
              <w:outlineLvl w:val="9"/>
              <w:rPr>
                <w:rFonts w:ascii="宋体" w:hAnsi="宋体" w:cs="宋体"/>
                <w:color w:val="000000"/>
                <w:kern w:val="0"/>
                <w:sz w:val="16"/>
                <w:szCs w:val="28"/>
              </w:rPr>
            </w:pPr>
          </w:p>
        </w:tc>
        <w:tc>
          <w:tcPr>
            <w:tcW w:w="4186" w:type="dxa"/>
            <w:tcBorders>
              <w:top w:val="nil"/>
              <w:left w:val="nil"/>
              <w:bottom w:val="single" w:color="auto" w:sz="4" w:space="0"/>
              <w:right w:val="nil"/>
            </w:tcBorders>
            <w:noWrap w:val="0"/>
            <w:vAlign w:val="center"/>
          </w:tcPr>
          <w:p>
            <w:pPr>
              <w:widowControl/>
              <w:spacing w:line="200" w:lineRule="exact"/>
              <w:jc w:val="left"/>
              <w:outlineLvl w:val="9"/>
              <w:rPr>
                <w:rFonts w:ascii="宋体" w:hAnsi="宋体" w:cs="宋体"/>
                <w:color w:val="000000"/>
                <w:kern w:val="0"/>
                <w:sz w:val="16"/>
                <w:szCs w:val="28"/>
              </w:rPr>
            </w:pPr>
            <w:r>
              <w:rPr>
                <w:rFonts w:hint="eastAsia" w:ascii="宋体" w:hAnsi="宋体" w:cs="宋体"/>
                <w:color w:val="000000"/>
                <w:kern w:val="0"/>
                <w:sz w:val="16"/>
                <w:szCs w:val="28"/>
              </w:rPr>
              <w:t>培育商业带头人不少于</w:t>
            </w:r>
            <w:r>
              <w:rPr>
                <w:rFonts w:ascii="宋体" w:hAnsi="宋体" w:cs="宋体"/>
                <w:color w:val="000000"/>
                <w:kern w:val="0"/>
                <w:sz w:val="16"/>
                <w:szCs w:val="28"/>
              </w:rPr>
              <w:t>5</w:t>
            </w:r>
            <w:r>
              <w:rPr>
                <w:rFonts w:hint="eastAsia" w:ascii="宋体" w:hAnsi="宋体" w:cs="宋体"/>
                <w:color w:val="000000"/>
                <w:kern w:val="0"/>
                <w:sz w:val="16"/>
                <w:szCs w:val="28"/>
              </w:rPr>
              <w:t>人</w:t>
            </w:r>
          </w:p>
        </w:tc>
        <w:tc>
          <w:tcPr>
            <w:tcW w:w="1459" w:type="dxa"/>
            <w:tcBorders>
              <w:top w:val="nil"/>
              <w:left w:val="single" w:color="auto" w:sz="8" w:space="0"/>
              <w:bottom w:val="single" w:color="auto" w:sz="4" w:space="0"/>
              <w:right w:val="single" w:color="auto" w:sz="8" w:space="0"/>
            </w:tcBorders>
            <w:noWrap/>
            <w:vAlign w:val="center"/>
          </w:tcPr>
          <w:p>
            <w:pPr>
              <w:widowControl/>
              <w:spacing w:line="200" w:lineRule="exact"/>
              <w:ind w:left="0" w:leftChars="0" w:firstLine="0" w:firstLineChars="0"/>
              <w:jc w:val="both"/>
              <w:outlineLvl w:val="9"/>
              <w:rPr>
                <w:rFonts w:ascii="宋体" w:hAnsi="宋体" w:cs="宋体"/>
                <w:color w:val="000000"/>
                <w:kern w:val="0"/>
                <w:sz w:val="16"/>
                <w:szCs w:val="28"/>
              </w:rPr>
            </w:pPr>
            <w:r>
              <w:rPr>
                <w:rFonts w:ascii="宋体" w:hAnsi="宋体" w:cs="宋体"/>
                <w:color w:val="000000"/>
                <w:kern w:val="0"/>
                <w:sz w:val="16"/>
                <w:szCs w:val="28"/>
              </w:rPr>
              <w:t>2023</w:t>
            </w:r>
            <w:r>
              <w:rPr>
                <w:rFonts w:hint="eastAsia" w:ascii="宋体" w:hAnsi="宋体" w:cs="宋体"/>
                <w:color w:val="000000"/>
                <w:kern w:val="0"/>
                <w:sz w:val="16"/>
                <w:szCs w:val="28"/>
              </w:rPr>
              <w:t>年</w:t>
            </w:r>
            <w:r>
              <w:rPr>
                <w:rFonts w:ascii="宋体" w:hAnsi="宋体" w:cs="宋体"/>
                <w:color w:val="000000"/>
                <w:kern w:val="0"/>
                <w:sz w:val="16"/>
                <w:szCs w:val="28"/>
              </w:rPr>
              <w:t>11</w:t>
            </w:r>
            <w:r>
              <w:rPr>
                <w:rFonts w:hint="eastAsia" w:ascii="宋体" w:hAnsi="宋体" w:cs="宋体"/>
                <w:color w:val="000000"/>
                <w:kern w:val="0"/>
                <w:sz w:val="16"/>
                <w:szCs w:val="28"/>
              </w:rPr>
              <w:t>月底前</w:t>
            </w:r>
          </w:p>
        </w:tc>
        <w:tc>
          <w:tcPr>
            <w:tcW w:w="767" w:type="dxa"/>
            <w:vMerge w:val="continue"/>
            <w:tcBorders>
              <w:top w:val="single" w:color="auto" w:sz="8" w:space="0"/>
              <w:left w:val="single" w:color="auto" w:sz="4" w:space="0"/>
              <w:bottom w:val="single" w:color="000000" w:sz="8" w:space="0"/>
              <w:right w:val="single" w:color="auto" w:sz="4" w:space="0"/>
            </w:tcBorders>
            <w:noWrap w:val="0"/>
            <w:vAlign w:val="center"/>
          </w:tcPr>
          <w:p>
            <w:pPr>
              <w:widowControl/>
              <w:spacing w:line="200" w:lineRule="exact"/>
              <w:jc w:val="center"/>
              <w:outlineLvl w:val="9"/>
              <w:rPr>
                <w:rFonts w:ascii="宋体" w:hAnsi="宋体" w:cs="宋体"/>
                <w:color w:val="000000"/>
                <w:kern w:val="0"/>
                <w:sz w:val="16"/>
                <w:szCs w:val="28"/>
              </w:rPr>
            </w:pPr>
          </w:p>
        </w:tc>
        <w:tc>
          <w:tcPr>
            <w:tcW w:w="992" w:type="dxa"/>
            <w:vMerge w:val="continue"/>
            <w:tcBorders>
              <w:top w:val="single" w:color="auto" w:sz="8" w:space="0"/>
              <w:left w:val="nil"/>
              <w:bottom w:val="single" w:color="000000" w:sz="8" w:space="0"/>
              <w:right w:val="single" w:color="auto" w:sz="4" w:space="0"/>
            </w:tcBorders>
            <w:noWrap w:val="0"/>
            <w:vAlign w:val="center"/>
          </w:tcPr>
          <w:p>
            <w:pPr>
              <w:widowControl/>
              <w:spacing w:line="200" w:lineRule="exact"/>
              <w:jc w:val="center"/>
              <w:outlineLvl w:val="9"/>
              <w:rPr>
                <w:rFonts w:ascii="宋体" w:hAnsi="宋体" w:cs="宋体"/>
                <w:color w:val="000000"/>
                <w:kern w:val="0"/>
                <w:sz w:val="16"/>
                <w:szCs w:val="28"/>
              </w:rPr>
            </w:pPr>
          </w:p>
        </w:tc>
        <w:tc>
          <w:tcPr>
            <w:tcW w:w="781" w:type="dxa"/>
            <w:vMerge w:val="continue"/>
            <w:tcBorders>
              <w:top w:val="single" w:color="auto" w:sz="8" w:space="0"/>
              <w:left w:val="single" w:color="auto" w:sz="4" w:space="0"/>
              <w:bottom w:val="single" w:color="000000" w:sz="8" w:space="0"/>
              <w:right w:val="single" w:color="auto" w:sz="8" w:space="0"/>
            </w:tcBorders>
            <w:noWrap w:val="0"/>
            <w:vAlign w:val="center"/>
          </w:tcPr>
          <w:p>
            <w:pPr>
              <w:widowControl/>
              <w:spacing w:line="200" w:lineRule="exact"/>
              <w:jc w:val="center"/>
              <w:outlineLvl w:val="9"/>
              <w:rPr>
                <w:rFonts w:ascii="宋体" w:hAnsi="宋体" w:cs="宋体"/>
                <w:color w:val="000000"/>
                <w:kern w:val="0"/>
                <w:sz w:val="16"/>
                <w:szCs w:val="28"/>
              </w:rPr>
            </w:pPr>
          </w:p>
        </w:tc>
      </w:tr>
      <w:tr>
        <w:tblPrEx>
          <w:tblCellMar>
            <w:top w:w="0" w:type="dxa"/>
            <w:left w:w="108" w:type="dxa"/>
            <w:bottom w:w="0" w:type="dxa"/>
            <w:right w:w="108" w:type="dxa"/>
          </w:tblCellMar>
        </w:tblPrEx>
        <w:trPr>
          <w:trHeight w:val="298" w:hRule="atLeast"/>
          <w:jc w:val="center"/>
        </w:trPr>
        <w:tc>
          <w:tcPr>
            <w:tcW w:w="568" w:type="dxa"/>
            <w:vMerge w:val="continue"/>
            <w:tcBorders>
              <w:top w:val="single" w:color="auto" w:sz="8" w:space="0"/>
              <w:left w:val="single" w:color="auto" w:sz="8" w:space="0"/>
              <w:bottom w:val="single" w:color="000000" w:sz="8" w:space="0"/>
              <w:right w:val="nil"/>
            </w:tcBorders>
            <w:noWrap w:val="0"/>
            <w:vAlign w:val="center"/>
          </w:tcPr>
          <w:p>
            <w:pPr>
              <w:widowControl/>
              <w:spacing w:line="200" w:lineRule="exact"/>
              <w:jc w:val="left"/>
              <w:outlineLvl w:val="9"/>
              <w:rPr>
                <w:rFonts w:ascii="宋体" w:hAnsi="宋体" w:cs="宋体"/>
                <w:color w:val="000000"/>
                <w:kern w:val="0"/>
                <w:sz w:val="16"/>
                <w:szCs w:val="28"/>
              </w:rPr>
            </w:pPr>
          </w:p>
        </w:tc>
        <w:tc>
          <w:tcPr>
            <w:tcW w:w="912" w:type="dxa"/>
            <w:vMerge w:val="continue"/>
            <w:tcBorders>
              <w:top w:val="single" w:color="auto" w:sz="8" w:space="0"/>
              <w:left w:val="single" w:color="auto" w:sz="8" w:space="0"/>
              <w:bottom w:val="single" w:color="000000" w:sz="8" w:space="0"/>
              <w:right w:val="single" w:color="auto" w:sz="8" w:space="0"/>
            </w:tcBorders>
            <w:noWrap w:val="0"/>
            <w:vAlign w:val="center"/>
          </w:tcPr>
          <w:p>
            <w:pPr>
              <w:widowControl/>
              <w:spacing w:line="200" w:lineRule="exact"/>
              <w:jc w:val="left"/>
              <w:outlineLvl w:val="9"/>
              <w:rPr>
                <w:rFonts w:ascii="宋体" w:hAnsi="宋体" w:cs="宋体"/>
                <w:color w:val="000000"/>
                <w:kern w:val="0"/>
                <w:sz w:val="16"/>
                <w:szCs w:val="28"/>
              </w:rPr>
            </w:pPr>
          </w:p>
        </w:tc>
        <w:tc>
          <w:tcPr>
            <w:tcW w:w="4186" w:type="dxa"/>
            <w:tcBorders>
              <w:top w:val="nil"/>
              <w:left w:val="nil"/>
              <w:bottom w:val="single" w:color="auto" w:sz="4" w:space="0"/>
              <w:right w:val="nil"/>
            </w:tcBorders>
            <w:noWrap w:val="0"/>
            <w:vAlign w:val="center"/>
          </w:tcPr>
          <w:p>
            <w:pPr>
              <w:widowControl/>
              <w:spacing w:line="200" w:lineRule="exact"/>
              <w:jc w:val="left"/>
              <w:outlineLvl w:val="9"/>
              <w:rPr>
                <w:rFonts w:ascii="宋体" w:hAnsi="宋体" w:cs="宋体"/>
                <w:color w:val="000000"/>
                <w:kern w:val="0"/>
                <w:sz w:val="16"/>
                <w:szCs w:val="28"/>
              </w:rPr>
            </w:pPr>
            <w:r>
              <w:rPr>
                <w:rFonts w:hint="eastAsia" w:ascii="宋体" w:hAnsi="宋体" w:cs="宋体"/>
                <w:color w:val="000000"/>
                <w:kern w:val="0"/>
                <w:sz w:val="16"/>
                <w:szCs w:val="28"/>
              </w:rPr>
              <w:t>培育本地网红不少于</w:t>
            </w:r>
            <w:r>
              <w:rPr>
                <w:rFonts w:ascii="宋体" w:hAnsi="宋体" w:cs="宋体"/>
                <w:color w:val="000000"/>
                <w:kern w:val="0"/>
                <w:sz w:val="16"/>
                <w:szCs w:val="28"/>
              </w:rPr>
              <w:t>5</w:t>
            </w:r>
            <w:r>
              <w:rPr>
                <w:rFonts w:hint="eastAsia" w:ascii="宋体" w:hAnsi="宋体" w:cs="宋体"/>
                <w:color w:val="000000"/>
                <w:kern w:val="0"/>
                <w:sz w:val="16"/>
                <w:szCs w:val="28"/>
              </w:rPr>
              <w:t>人</w:t>
            </w:r>
          </w:p>
        </w:tc>
        <w:tc>
          <w:tcPr>
            <w:tcW w:w="1459" w:type="dxa"/>
            <w:tcBorders>
              <w:top w:val="nil"/>
              <w:left w:val="single" w:color="auto" w:sz="8" w:space="0"/>
              <w:bottom w:val="single" w:color="auto" w:sz="4" w:space="0"/>
              <w:right w:val="single" w:color="auto" w:sz="8" w:space="0"/>
            </w:tcBorders>
            <w:noWrap/>
            <w:vAlign w:val="center"/>
          </w:tcPr>
          <w:p>
            <w:pPr>
              <w:widowControl/>
              <w:spacing w:line="200" w:lineRule="exact"/>
              <w:ind w:left="0" w:leftChars="0" w:firstLine="0" w:firstLineChars="0"/>
              <w:jc w:val="both"/>
              <w:outlineLvl w:val="9"/>
              <w:rPr>
                <w:rFonts w:ascii="宋体" w:hAnsi="宋体" w:cs="宋体"/>
                <w:color w:val="000000"/>
                <w:kern w:val="0"/>
                <w:sz w:val="16"/>
                <w:szCs w:val="28"/>
              </w:rPr>
            </w:pPr>
            <w:r>
              <w:rPr>
                <w:rFonts w:ascii="宋体" w:hAnsi="宋体" w:cs="宋体"/>
                <w:color w:val="000000"/>
                <w:kern w:val="0"/>
                <w:sz w:val="16"/>
                <w:szCs w:val="28"/>
              </w:rPr>
              <w:t>2023</w:t>
            </w:r>
            <w:r>
              <w:rPr>
                <w:rFonts w:hint="eastAsia" w:ascii="宋体" w:hAnsi="宋体" w:cs="宋体"/>
                <w:color w:val="000000"/>
                <w:kern w:val="0"/>
                <w:sz w:val="16"/>
                <w:szCs w:val="28"/>
              </w:rPr>
              <w:t>年</w:t>
            </w:r>
            <w:r>
              <w:rPr>
                <w:rFonts w:ascii="宋体" w:hAnsi="宋体" w:cs="宋体"/>
                <w:color w:val="000000"/>
                <w:kern w:val="0"/>
                <w:sz w:val="16"/>
                <w:szCs w:val="28"/>
              </w:rPr>
              <w:t>11</w:t>
            </w:r>
            <w:r>
              <w:rPr>
                <w:rFonts w:hint="eastAsia" w:ascii="宋体" w:hAnsi="宋体" w:cs="宋体"/>
                <w:color w:val="000000"/>
                <w:kern w:val="0"/>
                <w:sz w:val="16"/>
                <w:szCs w:val="28"/>
              </w:rPr>
              <w:t>月底前</w:t>
            </w:r>
          </w:p>
        </w:tc>
        <w:tc>
          <w:tcPr>
            <w:tcW w:w="767" w:type="dxa"/>
            <w:vMerge w:val="continue"/>
            <w:tcBorders>
              <w:top w:val="single" w:color="auto" w:sz="8" w:space="0"/>
              <w:left w:val="single" w:color="auto" w:sz="4" w:space="0"/>
              <w:bottom w:val="single" w:color="000000" w:sz="8" w:space="0"/>
              <w:right w:val="single" w:color="auto" w:sz="4" w:space="0"/>
            </w:tcBorders>
            <w:noWrap w:val="0"/>
            <w:vAlign w:val="center"/>
          </w:tcPr>
          <w:p>
            <w:pPr>
              <w:widowControl/>
              <w:spacing w:line="200" w:lineRule="exact"/>
              <w:jc w:val="center"/>
              <w:outlineLvl w:val="9"/>
              <w:rPr>
                <w:rFonts w:ascii="宋体" w:hAnsi="宋体" w:cs="宋体"/>
                <w:color w:val="000000"/>
                <w:kern w:val="0"/>
                <w:sz w:val="16"/>
                <w:szCs w:val="28"/>
              </w:rPr>
            </w:pPr>
          </w:p>
        </w:tc>
        <w:tc>
          <w:tcPr>
            <w:tcW w:w="992" w:type="dxa"/>
            <w:vMerge w:val="continue"/>
            <w:tcBorders>
              <w:top w:val="single" w:color="auto" w:sz="8" w:space="0"/>
              <w:left w:val="nil"/>
              <w:bottom w:val="single" w:color="000000" w:sz="8" w:space="0"/>
              <w:right w:val="single" w:color="auto" w:sz="4" w:space="0"/>
            </w:tcBorders>
            <w:noWrap w:val="0"/>
            <w:vAlign w:val="center"/>
          </w:tcPr>
          <w:p>
            <w:pPr>
              <w:widowControl/>
              <w:spacing w:line="200" w:lineRule="exact"/>
              <w:jc w:val="center"/>
              <w:outlineLvl w:val="9"/>
              <w:rPr>
                <w:rFonts w:ascii="宋体" w:hAnsi="宋体" w:cs="宋体"/>
                <w:color w:val="000000"/>
                <w:kern w:val="0"/>
                <w:sz w:val="16"/>
                <w:szCs w:val="28"/>
              </w:rPr>
            </w:pPr>
          </w:p>
        </w:tc>
        <w:tc>
          <w:tcPr>
            <w:tcW w:w="781" w:type="dxa"/>
            <w:vMerge w:val="continue"/>
            <w:tcBorders>
              <w:top w:val="single" w:color="auto" w:sz="8" w:space="0"/>
              <w:left w:val="single" w:color="auto" w:sz="4" w:space="0"/>
              <w:bottom w:val="single" w:color="000000" w:sz="8" w:space="0"/>
              <w:right w:val="single" w:color="auto" w:sz="8" w:space="0"/>
            </w:tcBorders>
            <w:noWrap w:val="0"/>
            <w:vAlign w:val="center"/>
          </w:tcPr>
          <w:p>
            <w:pPr>
              <w:widowControl/>
              <w:spacing w:line="200" w:lineRule="exact"/>
              <w:jc w:val="center"/>
              <w:outlineLvl w:val="9"/>
              <w:rPr>
                <w:rFonts w:ascii="宋体" w:hAnsi="宋体" w:cs="宋体"/>
                <w:color w:val="000000"/>
                <w:kern w:val="0"/>
                <w:sz w:val="16"/>
                <w:szCs w:val="28"/>
              </w:rPr>
            </w:pPr>
          </w:p>
        </w:tc>
      </w:tr>
      <w:tr>
        <w:tblPrEx>
          <w:tblCellMar>
            <w:top w:w="0" w:type="dxa"/>
            <w:left w:w="108" w:type="dxa"/>
            <w:bottom w:w="0" w:type="dxa"/>
            <w:right w:w="108" w:type="dxa"/>
          </w:tblCellMar>
        </w:tblPrEx>
        <w:trPr>
          <w:trHeight w:val="298" w:hRule="atLeast"/>
          <w:jc w:val="center"/>
        </w:trPr>
        <w:tc>
          <w:tcPr>
            <w:tcW w:w="568" w:type="dxa"/>
            <w:vMerge w:val="continue"/>
            <w:tcBorders>
              <w:top w:val="single" w:color="auto" w:sz="8" w:space="0"/>
              <w:left w:val="single" w:color="auto" w:sz="8" w:space="0"/>
              <w:bottom w:val="single" w:color="000000" w:sz="8" w:space="0"/>
              <w:right w:val="nil"/>
            </w:tcBorders>
            <w:noWrap w:val="0"/>
            <w:vAlign w:val="center"/>
          </w:tcPr>
          <w:p>
            <w:pPr>
              <w:widowControl/>
              <w:spacing w:line="200" w:lineRule="exact"/>
              <w:jc w:val="left"/>
              <w:outlineLvl w:val="9"/>
              <w:rPr>
                <w:rFonts w:ascii="宋体" w:hAnsi="宋体" w:cs="宋体"/>
                <w:color w:val="000000"/>
                <w:kern w:val="0"/>
                <w:sz w:val="16"/>
                <w:szCs w:val="28"/>
              </w:rPr>
            </w:pPr>
          </w:p>
        </w:tc>
        <w:tc>
          <w:tcPr>
            <w:tcW w:w="912" w:type="dxa"/>
            <w:vMerge w:val="continue"/>
            <w:tcBorders>
              <w:top w:val="single" w:color="auto" w:sz="8" w:space="0"/>
              <w:left w:val="single" w:color="auto" w:sz="8" w:space="0"/>
              <w:bottom w:val="single" w:color="000000" w:sz="8" w:space="0"/>
              <w:right w:val="single" w:color="auto" w:sz="8" w:space="0"/>
            </w:tcBorders>
            <w:noWrap w:val="0"/>
            <w:vAlign w:val="center"/>
          </w:tcPr>
          <w:p>
            <w:pPr>
              <w:widowControl/>
              <w:spacing w:line="200" w:lineRule="exact"/>
              <w:jc w:val="left"/>
              <w:outlineLvl w:val="9"/>
              <w:rPr>
                <w:rFonts w:ascii="宋体" w:hAnsi="宋体" w:cs="宋体"/>
                <w:color w:val="000000"/>
                <w:kern w:val="0"/>
                <w:sz w:val="16"/>
                <w:szCs w:val="28"/>
              </w:rPr>
            </w:pPr>
          </w:p>
        </w:tc>
        <w:tc>
          <w:tcPr>
            <w:tcW w:w="4186" w:type="dxa"/>
            <w:tcBorders>
              <w:top w:val="nil"/>
              <w:left w:val="nil"/>
              <w:bottom w:val="single" w:color="auto" w:sz="4" w:space="0"/>
              <w:right w:val="nil"/>
            </w:tcBorders>
            <w:noWrap w:val="0"/>
            <w:vAlign w:val="center"/>
          </w:tcPr>
          <w:p>
            <w:pPr>
              <w:widowControl/>
              <w:spacing w:line="200" w:lineRule="exact"/>
              <w:jc w:val="left"/>
              <w:outlineLvl w:val="9"/>
              <w:rPr>
                <w:rFonts w:ascii="宋体" w:hAnsi="宋体" w:cs="宋体"/>
                <w:color w:val="000000"/>
                <w:kern w:val="0"/>
                <w:sz w:val="16"/>
                <w:szCs w:val="28"/>
              </w:rPr>
            </w:pPr>
            <w:r>
              <w:rPr>
                <w:rFonts w:hint="eastAsia" w:ascii="宋体" w:hAnsi="宋体" w:cs="宋体"/>
                <w:color w:val="000000"/>
                <w:kern w:val="0"/>
                <w:sz w:val="16"/>
                <w:szCs w:val="28"/>
              </w:rPr>
              <w:t>培训人数不少于</w:t>
            </w:r>
            <w:r>
              <w:rPr>
                <w:rFonts w:ascii="宋体" w:hAnsi="宋体" w:cs="宋体"/>
                <w:color w:val="000000"/>
                <w:kern w:val="0"/>
                <w:sz w:val="16"/>
                <w:szCs w:val="28"/>
              </w:rPr>
              <w:t>500</w:t>
            </w:r>
            <w:r>
              <w:rPr>
                <w:rFonts w:hint="eastAsia" w:ascii="宋体" w:hAnsi="宋体" w:cs="宋体"/>
                <w:color w:val="000000"/>
                <w:kern w:val="0"/>
                <w:sz w:val="16"/>
                <w:szCs w:val="28"/>
              </w:rPr>
              <w:t>人次</w:t>
            </w:r>
          </w:p>
        </w:tc>
        <w:tc>
          <w:tcPr>
            <w:tcW w:w="1459" w:type="dxa"/>
            <w:tcBorders>
              <w:top w:val="nil"/>
              <w:left w:val="single" w:color="auto" w:sz="8" w:space="0"/>
              <w:bottom w:val="single" w:color="auto" w:sz="4" w:space="0"/>
              <w:right w:val="single" w:color="auto" w:sz="8" w:space="0"/>
            </w:tcBorders>
            <w:noWrap/>
            <w:vAlign w:val="center"/>
          </w:tcPr>
          <w:p>
            <w:pPr>
              <w:widowControl/>
              <w:spacing w:line="200" w:lineRule="exact"/>
              <w:ind w:left="0" w:leftChars="0" w:firstLine="0" w:firstLineChars="0"/>
              <w:jc w:val="both"/>
              <w:outlineLvl w:val="9"/>
              <w:rPr>
                <w:rFonts w:ascii="宋体" w:hAnsi="宋体" w:cs="宋体"/>
                <w:color w:val="000000"/>
                <w:kern w:val="0"/>
                <w:sz w:val="16"/>
                <w:szCs w:val="28"/>
              </w:rPr>
            </w:pPr>
            <w:r>
              <w:rPr>
                <w:rFonts w:ascii="宋体" w:hAnsi="宋体" w:cs="宋体"/>
                <w:color w:val="000000"/>
                <w:kern w:val="0"/>
                <w:sz w:val="16"/>
                <w:szCs w:val="28"/>
              </w:rPr>
              <w:t>2023</w:t>
            </w:r>
            <w:r>
              <w:rPr>
                <w:rFonts w:hint="eastAsia" w:ascii="宋体" w:hAnsi="宋体" w:cs="宋体"/>
                <w:color w:val="000000"/>
                <w:kern w:val="0"/>
                <w:sz w:val="16"/>
                <w:szCs w:val="28"/>
              </w:rPr>
              <w:t>年</w:t>
            </w:r>
            <w:r>
              <w:rPr>
                <w:rFonts w:ascii="宋体" w:hAnsi="宋体" w:cs="宋体"/>
                <w:color w:val="000000"/>
                <w:kern w:val="0"/>
                <w:sz w:val="16"/>
                <w:szCs w:val="28"/>
              </w:rPr>
              <w:t>11</w:t>
            </w:r>
            <w:r>
              <w:rPr>
                <w:rFonts w:hint="eastAsia" w:ascii="宋体" w:hAnsi="宋体" w:cs="宋体"/>
                <w:color w:val="000000"/>
                <w:kern w:val="0"/>
                <w:sz w:val="16"/>
                <w:szCs w:val="28"/>
              </w:rPr>
              <w:t>月底前</w:t>
            </w:r>
          </w:p>
        </w:tc>
        <w:tc>
          <w:tcPr>
            <w:tcW w:w="767" w:type="dxa"/>
            <w:vMerge w:val="continue"/>
            <w:tcBorders>
              <w:top w:val="single" w:color="auto" w:sz="8" w:space="0"/>
              <w:left w:val="single" w:color="auto" w:sz="4" w:space="0"/>
              <w:bottom w:val="single" w:color="000000" w:sz="8" w:space="0"/>
              <w:right w:val="single" w:color="auto" w:sz="4" w:space="0"/>
            </w:tcBorders>
            <w:noWrap w:val="0"/>
            <w:vAlign w:val="center"/>
          </w:tcPr>
          <w:p>
            <w:pPr>
              <w:widowControl/>
              <w:spacing w:line="200" w:lineRule="exact"/>
              <w:jc w:val="center"/>
              <w:outlineLvl w:val="9"/>
              <w:rPr>
                <w:rFonts w:ascii="宋体" w:hAnsi="宋体" w:cs="宋体"/>
                <w:color w:val="000000"/>
                <w:kern w:val="0"/>
                <w:sz w:val="16"/>
                <w:szCs w:val="28"/>
              </w:rPr>
            </w:pPr>
          </w:p>
        </w:tc>
        <w:tc>
          <w:tcPr>
            <w:tcW w:w="992" w:type="dxa"/>
            <w:vMerge w:val="continue"/>
            <w:tcBorders>
              <w:top w:val="single" w:color="auto" w:sz="8" w:space="0"/>
              <w:left w:val="nil"/>
              <w:bottom w:val="single" w:color="000000" w:sz="8" w:space="0"/>
              <w:right w:val="single" w:color="auto" w:sz="4" w:space="0"/>
            </w:tcBorders>
            <w:noWrap w:val="0"/>
            <w:vAlign w:val="center"/>
          </w:tcPr>
          <w:p>
            <w:pPr>
              <w:widowControl/>
              <w:spacing w:line="200" w:lineRule="exact"/>
              <w:jc w:val="center"/>
              <w:outlineLvl w:val="9"/>
              <w:rPr>
                <w:rFonts w:ascii="宋体" w:hAnsi="宋体" w:cs="宋体"/>
                <w:color w:val="000000"/>
                <w:kern w:val="0"/>
                <w:sz w:val="16"/>
                <w:szCs w:val="28"/>
              </w:rPr>
            </w:pPr>
          </w:p>
        </w:tc>
        <w:tc>
          <w:tcPr>
            <w:tcW w:w="781" w:type="dxa"/>
            <w:vMerge w:val="continue"/>
            <w:tcBorders>
              <w:top w:val="single" w:color="auto" w:sz="8" w:space="0"/>
              <w:left w:val="single" w:color="auto" w:sz="4" w:space="0"/>
              <w:bottom w:val="single" w:color="000000" w:sz="8" w:space="0"/>
              <w:right w:val="single" w:color="auto" w:sz="8" w:space="0"/>
            </w:tcBorders>
            <w:noWrap w:val="0"/>
            <w:vAlign w:val="center"/>
          </w:tcPr>
          <w:p>
            <w:pPr>
              <w:widowControl/>
              <w:spacing w:line="200" w:lineRule="exact"/>
              <w:jc w:val="center"/>
              <w:outlineLvl w:val="9"/>
              <w:rPr>
                <w:rFonts w:ascii="宋体" w:hAnsi="宋体" w:cs="宋体"/>
                <w:color w:val="000000"/>
                <w:kern w:val="0"/>
                <w:sz w:val="16"/>
                <w:szCs w:val="28"/>
              </w:rPr>
            </w:pPr>
          </w:p>
        </w:tc>
      </w:tr>
      <w:tr>
        <w:tblPrEx>
          <w:tblCellMar>
            <w:top w:w="0" w:type="dxa"/>
            <w:left w:w="108" w:type="dxa"/>
            <w:bottom w:w="0" w:type="dxa"/>
            <w:right w:w="108" w:type="dxa"/>
          </w:tblCellMar>
        </w:tblPrEx>
        <w:trPr>
          <w:trHeight w:val="298" w:hRule="atLeast"/>
          <w:jc w:val="center"/>
        </w:trPr>
        <w:tc>
          <w:tcPr>
            <w:tcW w:w="568" w:type="dxa"/>
            <w:vMerge w:val="continue"/>
            <w:tcBorders>
              <w:top w:val="single" w:color="auto" w:sz="8" w:space="0"/>
              <w:left w:val="single" w:color="auto" w:sz="8" w:space="0"/>
              <w:bottom w:val="single" w:color="000000" w:sz="8" w:space="0"/>
              <w:right w:val="nil"/>
            </w:tcBorders>
            <w:noWrap w:val="0"/>
            <w:vAlign w:val="center"/>
          </w:tcPr>
          <w:p>
            <w:pPr>
              <w:widowControl/>
              <w:spacing w:line="200" w:lineRule="exact"/>
              <w:jc w:val="left"/>
              <w:outlineLvl w:val="9"/>
              <w:rPr>
                <w:rFonts w:ascii="宋体" w:hAnsi="宋体" w:cs="宋体"/>
                <w:color w:val="000000"/>
                <w:kern w:val="0"/>
                <w:sz w:val="16"/>
                <w:szCs w:val="28"/>
              </w:rPr>
            </w:pPr>
          </w:p>
        </w:tc>
        <w:tc>
          <w:tcPr>
            <w:tcW w:w="912" w:type="dxa"/>
            <w:vMerge w:val="continue"/>
            <w:tcBorders>
              <w:top w:val="single" w:color="auto" w:sz="8" w:space="0"/>
              <w:left w:val="single" w:color="auto" w:sz="8" w:space="0"/>
              <w:bottom w:val="single" w:color="000000" w:sz="8" w:space="0"/>
              <w:right w:val="single" w:color="auto" w:sz="8" w:space="0"/>
            </w:tcBorders>
            <w:noWrap w:val="0"/>
            <w:vAlign w:val="center"/>
          </w:tcPr>
          <w:p>
            <w:pPr>
              <w:widowControl/>
              <w:spacing w:line="200" w:lineRule="exact"/>
              <w:jc w:val="left"/>
              <w:outlineLvl w:val="9"/>
              <w:rPr>
                <w:rFonts w:ascii="宋体" w:hAnsi="宋体" w:cs="宋体"/>
                <w:color w:val="000000"/>
                <w:kern w:val="0"/>
                <w:sz w:val="16"/>
                <w:szCs w:val="28"/>
              </w:rPr>
            </w:pPr>
          </w:p>
        </w:tc>
        <w:tc>
          <w:tcPr>
            <w:tcW w:w="4186" w:type="dxa"/>
            <w:tcBorders>
              <w:top w:val="nil"/>
              <w:left w:val="nil"/>
              <w:bottom w:val="single" w:color="auto" w:sz="4" w:space="0"/>
              <w:right w:val="nil"/>
            </w:tcBorders>
            <w:noWrap w:val="0"/>
            <w:vAlign w:val="center"/>
          </w:tcPr>
          <w:p>
            <w:pPr>
              <w:widowControl/>
              <w:spacing w:line="200" w:lineRule="exact"/>
              <w:jc w:val="left"/>
              <w:outlineLvl w:val="9"/>
              <w:rPr>
                <w:rFonts w:ascii="宋体" w:hAnsi="宋体" w:cs="宋体"/>
                <w:kern w:val="0"/>
                <w:sz w:val="16"/>
                <w:szCs w:val="28"/>
              </w:rPr>
            </w:pPr>
            <w:r>
              <w:rPr>
                <w:rFonts w:hint="eastAsia" w:ascii="宋体" w:hAnsi="宋体" w:cs="宋体"/>
                <w:kern w:val="0"/>
                <w:sz w:val="16"/>
                <w:szCs w:val="28"/>
              </w:rPr>
              <w:t>强化实操技能，提高就业转化率</w:t>
            </w:r>
          </w:p>
        </w:tc>
        <w:tc>
          <w:tcPr>
            <w:tcW w:w="1459" w:type="dxa"/>
            <w:tcBorders>
              <w:top w:val="nil"/>
              <w:left w:val="single" w:color="auto" w:sz="8" w:space="0"/>
              <w:bottom w:val="single" w:color="auto" w:sz="4" w:space="0"/>
              <w:right w:val="single" w:color="auto" w:sz="8" w:space="0"/>
            </w:tcBorders>
            <w:noWrap/>
            <w:vAlign w:val="center"/>
          </w:tcPr>
          <w:p>
            <w:pPr>
              <w:widowControl/>
              <w:spacing w:line="200" w:lineRule="exact"/>
              <w:ind w:left="0" w:leftChars="0" w:firstLine="0" w:firstLineChars="0"/>
              <w:jc w:val="both"/>
              <w:outlineLvl w:val="9"/>
              <w:rPr>
                <w:rFonts w:ascii="宋体" w:hAnsi="宋体" w:cs="宋体"/>
                <w:color w:val="000000"/>
                <w:kern w:val="0"/>
                <w:sz w:val="16"/>
                <w:szCs w:val="28"/>
              </w:rPr>
            </w:pPr>
            <w:r>
              <w:rPr>
                <w:rFonts w:ascii="宋体" w:hAnsi="宋体" w:cs="宋体"/>
                <w:color w:val="000000"/>
                <w:kern w:val="0"/>
                <w:sz w:val="16"/>
                <w:szCs w:val="28"/>
              </w:rPr>
              <w:t>2023</w:t>
            </w:r>
            <w:r>
              <w:rPr>
                <w:rFonts w:hint="eastAsia" w:ascii="宋体" w:hAnsi="宋体" w:cs="宋体"/>
                <w:color w:val="000000"/>
                <w:kern w:val="0"/>
                <w:sz w:val="16"/>
                <w:szCs w:val="28"/>
              </w:rPr>
              <w:t>年</w:t>
            </w:r>
            <w:r>
              <w:rPr>
                <w:rFonts w:ascii="宋体" w:hAnsi="宋体" w:cs="宋体"/>
                <w:color w:val="000000"/>
                <w:kern w:val="0"/>
                <w:sz w:val="16"/>
                <w:szCs w:val="28"/>
              </w:rPr>
              <w:t>11</w:t>
            </w:r>
            <w:r>
              <w:rPr>
                <w:rFonts w:hint="eastAsia" w:ascii="宋体" w:hAnsi="宋体" w:cs="宋体"/>
                <w:color w:val="000000"/>
                <w:kern w:val="0"/>
                <w:sz w:val="16"/>
                <w:szCs w:val="28"/>
              </w:rPr>
              <w:t>月底前</w:t>
            </w:r>
          </w:p>
        </w:tc>
        <w:tc>
          <w:tcPr>
            <w:tcW w:w="767" w:type="dxa"/>
            <w:vMerge w:val="continue"/>
            <w:tcBorders>
              <w:top w:val="single" w:color="auto" w:sz="8" w:space="0"/>
              <w:left w:val="single" w:color="auto" w:sz="4" w:space="0"/>
              <w:bottom w:val="single" w:color="000000" w:sz="8" w:space="0"/>
              <w:right w:val="single" w:color="auto" w:sz="4" w:space="0"/>
            </w:tcBorders>
            <w:noWrap w:val="0"/>
            <w:vAlign w:val="center"/>
          </w:tcPr>
          <w:p>
            <w:pPr>
              <w:widowControl/>
              <w:spacing w:line="200" w:lineRule="exact"/>
              <w:jc w:val="center"/>
              <w:outlineLvl w:val="9"/>
              <w:rPr>
                <w:rFonts w:ascii="宋体" w:hAnsi="宋体" w:cs="宋体"/>
                <w:color w:val="000000"/>
                <w:kern w:val="0"/>
                <w:sz w:val="16"/>
                <w:szCs w:val="28"/>
              </w:rPr>
            </w:pPr>
          </w:p>
        </w:tc>
        <w:tc>
          <w:tcPr>
            <w:tcW w:w="992" w:type="dxa"/>
            <w:vMerge w:val="continue"/>
            <w:tcBorders>
              <w:top w:val="single" w:color="auto" w:sz="8" w:space="0"/>
              <w:left w:val="nil"/>
              <w:bottom w:val="single" w:color="000000" w:sz="8" w:space="0"/>
              <w:right w:val="single" w:color="auto" w:sz="4" w:space="0"/>
            </w:tcBorders>
            <w:noWrap w:val="0"/>
            <w:vAlign w:val="center"/>
          </w:tcPr>
          <w:p>
            <w:pPr>
              <w:widowControl/>
              <w:spacing w:line="200" w:lineRule="exact"/>
              <w:jc w:val="center"/>
              <w:outlineLvl w:val="9"/>
              <w:rPr>
                <w:rFonts w:ascii="宋体" w:hAnsi="宋体" w:cs="宋体"/>
                <w:color w:val="000000"/>
                <w:kern w:val="0"/>
                <w:sz w:val="16"/>
                <w:szCs w:val="28"/>
              </w:rPr>
            </w:pPr>
          </w:p>
        </w:tc>
        <w:tc>
          <w:tcPr>
            <w:tcW w:w="781" w:type="dxa"/>
            <w:vMerge w:val="continue"/>
            <w:tcBorders>
              <w:top w:val="single" w:color="auto" w:sz="8" w:space="0"/>
              <w:left w:val="single" w:color="auto" w:sz="4" w:space="0"/>
              <w:bottom w:val="single" w:color="000000" w:sz="8" w:space="0"/>
              <w:right w:val="single" w:color="auto" w:sz="8" w:space="0"/>
            </w:tcBorders>
            <w:noWrap w:val="0"/>
            <w:vAlign w:val="center"/>
          </w:tcPr>
          <w:p>
            <w:pPr>
              <w:widowControl/>
              <w:spacing w:line="200" w:lineRule="exact"/>
              <w:jc w:val="center"/>
              <w:outlineLvl w:val="9"/>
              <w:rPr>
                <w:rFonts w:ascii="宋体" w:hAnsi="宋体" w:cs="宋体"/>
                <w:color w:val="000000"/>
                <w:kern w:val="0"/>
                <w:sz w:val="16"/>
                <w:szCs w:val="28"/>
              </w:rPr>
            </w:pPr>
          </w:p>
        </w:tc>
      </w:tr>
      <w:tr>
        <w:tblPrEx>
          <w:tblCellMar>
            <w:top w:w="0" w:type="dxa"/>
            <w:left w:w="108" w:type="dxa"/>
            <w:bottom w:w="0" w:type="dxa"/>
            <w:right w:w="108" w:type="dxa"/>
          </w:tblCellMar>
        </w:tblPrEx>
        <w:trPr>
          <w:trHeight w:val="318" w:hRule="atLeast"/>
          <w:jc w:val="center"/>
        </w:trPr>
        <w:tc>
          <w:tcPr>
            <w:tcW w:w="568" w:type="dxa"/>
            <w:vMerge w:val="continue"/>
            <w:tcBorders>
              <w:top w:val="single" w:color="auto" w:sz="8" w:space="0"/>
              <w:left w:val="single" w:color="auto" w:sz="8" w:space="0"/>
              <w:bottom w:val="single" w:color="000000" w:sz="8" w:space="0"/>
              <w:right w:val="nil"/>
            </w:tcBorders>
            <w:noWrap w:val="0"/>
            <w:vAlign w:val="center"/>
          </w:tcPr>
          <w:p>
            <w:pPr>
              <w:widowControl/>
              <w:spacing w:line="200" w:lineRule="exact"/>
              <w:jc w:val="left"/>
              <w:outlineLvl w:val="9"/>
              <w:rPr>
                <w:rFonts w:ascii="宋体" w:hAnsi="宋体" w:cs="宋体"/>
                <w:color w:val="000000"/>
                <w:kern w:val="0"/>
                <w:sz w:val="16"/>
                <w:szCs w:val="28"/>
              </w:rPr>
            </w:pPr>
          </w:p>
        </w:tc>
        <w:tc>
          <w:tcPr>
            <w:tcW w:w="912" w:type="dxa"/>
            <w:vMerge w:val="continue"/>
            <w:tcBorders>
              <w:top w:val="single" w:color="auto" w:sz="8" w:space="0"/>
              <w:left w:val="single" w:color="auto" w:sz="8" w:space="0"/>
              <w:bottom w:val="single" w:color="000000" w:sz="8" w:space="0"/>
              <w:right w:val="single" w:color="auto" w:sz="8" w:space="0"/>
            </w:tcBorders>
            <w:noWrap w:val="0"/>
            <w:vAlign w:val="center"/>
          </w:tcPr>
          <w:p>
            <w:pPr>
              <w:widowControl/>
              <w:spacing w:line="200" w:lineRule="exact"/>
              <w:jc w:val="left"/>
              <w:outlineLvl w:val="9"/>
              <w:rPr>
                <w:rFonts w:ascii="宋体" w:hAnsi="宋体" w:cs="宋体"/>
                <w:color w:val="000000"/>
                <w:kern w:val="0"/>
                <w:sz w:val="16"/>
                <w:szCs w:val="28"/>
              </w:rPr>
            </w:pPr>
          </w:p>
        </w:tc>
        <w:tc>
          <w:tcPr>
            <w:tcW w:w="4186" w:type="dxa"/>
            <w:tcBorders>
              <w:top w:val="nil"/>
              <w:left w:val="nil"/>
              <w:bottom w:val="single" w:color="auto" w:sz="8" w:space="0"/>
              <w:right w:val="nil"/>
            </w:tcBorders>
            <w:noWrap w:val="0"/>
            <w:vAlign w:val="center"/>
          </w:tcPr>
          <w:p>
            <w:pPr>
              <w:widowControl/>
              <w:spacing w:line="200" w:lineRule="exact"/>
              <w:jc w:val="left"/>
              <w:outlineLvl w:val="9"/>
              <w:rPr>
                <w:rFonts w:ascii="宋体" w:hAnsi="宋体" w:cs="宋体"/>
                <w:color w:val="000000"/>
                <w:kern w:val="0"/>
                <w:sz w:val="16"/>
                <w:szCs w:val="28"/>
              </w:rPr>
            </w:pPr>
            <w:r>
              <w:rPr>
                <w:rFonts w:hint="eastAsia" w:ascii="宋体" w:hAnsi="宋体" w:cs="宋体"/>
                <w:color w:val="000000"/>
                <w:kern w:val="0"/>
                <w:sz w:val="16"/>
                <w:szCs w:val="28"/>
              </w:rPr>
              <w:t>举办创新创业和技能大赛不少于</w:t>
            </w:r>
            <w:r>
              <w:rPr>
                <w:rFonts w:ascii="宋体" w:hAnsi="宋体" w:cs="宋体"/>
                <w:color w:val="000000"/>
                <w:kern w:val="0"/>
                <w:sz w:val="16"/>
                <w:szCs w:val="28"/>
              </w:rPr>
              <w:t>1</w:t>
            </w:r>
            <w:r>
              <w:rPr>
                <w:rFonts w:hint="eastAsia" w:ascii="宋体" w:hAnsi="宋体" w:cs="宋体"/>
                <w:color w:val="000000"/>
                <w:kern w:val="0"/>
                <w:sz w:val="16"/>
                <w:szCs w:val="28"/>
              </w:rPr>
              <w:t>次</w:t>
            </w:r>
          </w:p>
        </w:tc>
        <w:tc>
          <w:tcPr>
            <w:tcW w:w="1459" w:type="dxa"/>
            <w:tcBorders>
              <w:top w:val="nil"/>
              <w:left w:val="single" w:color="auto" w:sz="8" w:space="0"/>
              <w:bottom w:val="single" w:color="auto" w:sz="8" w:space="0"/>
              <w:right w:val="single" w:color="auto" w:sz="8" w:space="0"/>
            </w:tcBorders>
            <w:noWrap/>
            <w:vAlign w:val="center"/>
          </w:tcPr>
          <w:p>
            <w:pPr>
              <w:widowControl/>
              <w:spacing w:line="200" w:lineRule="exact"/>
              <w:ind w:left="0" w:leftChars="0" w:firstLine="0" w:firstLineChars="0"/>
              <w:jc w:val="both"/>
              <w:outlineLvl w:val="9"/>
              <w:rPr>
                <w:rFonts w:ascii="宋体" w:hAnsi="宋体" w:cs="宋体"/>
                <w:color w:val="000000"/>
                <w:kern w:val="0"/>
                <w:sz w:val="16"/>
                <w:szCs w:val="28"/>
              </w:rPr>
            </w:pPr>
            <w:r>
              <w:rPr>
                <w:rFonts w:ascii="宋体" w:hAnsi="宋体" w:cs="宋体"/>
                <w:color w:val="000000"/>
                <w:kern w:val="0"/>
                <w:sz w:val="16"/>
                <w:szCs w:val="28"/>
              </w:rPr>
              <w:t>2023</w:t>
            </w:r>
            <w:r>
              <w:rPr>
                <w:rFonts w:hint="eastAsia" w:ascii="宋体" w:hAnsi="宋体" w:cs="宋体"/>
                <w:color w:val="000000"/>
                <w:kern w:val="0"/>
                <w:sz w:val="16"/>
                <w:szCs w:val="28"/>
              </w:rPr>
              <w:t>年</w:t>
            </w:r>
            <w:r>
              <w:rPr>
                <w:rFonts w:ascii="宋体" w:hAnsi="宋体" w:cs="宋体"/>
                <w:color w:val="000000"/>
                <w:kern w:val="0"/>
                <w:sz w:val="16"/>
                <w:szCs w:val="28"/>
              </w:rPr>
              <w:t>11</w:t>
            </w:r>
            <w:r>
              <w:rPr>
                <w:rFonts w:hint="eastAsia" w:ascii="宋体" w:hAnsi="宋体" w:cs="宋体"/>
                <w:color w:val="000000"/>
                <w:kern w:val="0"/>
                <w:sz w:val="16"/>
                <w:szCs w:val="28"/>
              </w:rPr>
              <w:t>月底前</w:t>
            </w:r>
          </w:p>
        </w:tc>
        <w:tc>
          <w:tcPr>
            <w:tcW w:w="767" w:type="dxa"/>
            <w:vMerge w:val="continue"/>
            <w:tcBorders>
              <w:top w:val="single" w:color="auto" w:sz="8" w:space="0"/>
              <w:left w:val="single" w:color="auto" w:sz="4" w:space="0"/>
              <w:bottom w:val="single" w:color="000000" w:sz="8" w:space="0"/>
              <w:right w:val="single" w:color="auto" w:sz="4" w:space="0"/>
            </w:tcBorders>
            <w:noWrap w:val="0"/>
            <w:vAlign w:val="center"/>
          </w:tcPr>
          <w:p>
            <w:pPr>
              <w:widowControl/>
              <w:spacing w:line="200" w:lineRule="exact"/>
              <w:jc w:val="center"/>
              <w:outlineLvl w:val="9"/>
              <w:rPr>
                <w:rFonts w:ascii="宋体" w:hAnsi="宋体" w:cs="宋体"/>
                <w:color w:val="000000"/>
                <w:kern w:val="0"/>
                <w:sz w:val="16"/>
                <w:szCs w:val="28"/>
              </w:rPr>
            </w:pPr>
          </w:p>
        </w:tc>
        <w:tc>
          <w:tcPr>
            <w:tcW w:w="992" w:type="dxa"/>
            <w:vMerge w:val="continue"/>
            <w:tcBorders>
              <w:top w:val="single" w:color="auto" w:sz="8" w:space="0"/>
              <w:left w:val="nil"/>
              <w:bottom w:val="single" w:color="000000" w:sz="8" w:space="0"/>
              <w:right w:val="single" w:color="auto" w:sz="4" w:space="0"/>
            </w:tcBorders>
            <w:noWrap w:val="0"/>
            <w:vAlign w:val="center"/>
          </w:tcPr>
          <w:p>
            <w:pPr>
              <w:widowControl/>
              <w:spacing w:line="200" w:lineRule="exact"/>
              <w:jc w:val="center"/>
              <w:outlineLvl w:val="9"/>
              <w:rPr>
                <w:rFonts w:ascii="宋体" w:hAnsi="宋体" w:cs="宋体"/>
                <w:color w:val="000000"/>
                <w:kern w:val="0"/>
                <w:sz w:val="16"/>
                <w:szCs w:val="28"/>
              </w:rPr>
            </w:pPr>
          </w:p>
        </w:tc>
        <w:tc>
          <w:tcPr>
            <w:tcW w:w="781" w:type="dxa"/>
            <w:vMerge w:val="continue"/>
            <w:tcBorders>
              <w:top w:val="single" w:color="auto" w:sz="8" w:space="0"/>
              <w:left w:val="single" w:color="auto" w:sz="4" w:space="0"/>
              <w:bottom w:val="single" w:color="000000" w:sz="8" w:space="0"/>
              <w:right w:val="single" w:color="auto" w:sz="8" w:space="0"/>
            </w:tcBorders>
            <w:noWrap w:val="0"/>
            <w:vAlign w:val="center"/>
          </w:tcPr>
          <w:p>
            <w:pPr>
              <w:widowControl/>
              <w:spacing w:line="200" w:lineRule="exact"/>
              <w:jc w:val="center"/>
              <w:outlineLvl w:val="9"/>
              <w:rPr>
                <w:rFonts w:ascii="宋体" w:hAnsi="宋体" w:cs="宋体"/>
                <w:color w:val="000000"/>
                <w:kern w:val="0"/>
                <w:sz w:val="16"/>
                <w:szCs w:val="28"/>
              </w:rPr>
            </w:pPr>
          </w:p>
        </w:tc>
      </w:tr>
      <w:tr>
        <w:tblPrEx>
          <w:tblCellMar>
            <w:top w:w="0" w:type="dxa"/>
            <w:left w:w="108" w:type="dxa"/>
            <w:bottom w:w="0" w:type="dxa"/>
            <w:right w:w="108" w:type="dxa"/>
          </w:tblCellMar>
        </w:tblPrEx>
        <w:trPr>
          <w:trHeight w:val="298" w:hRule="atLeast"/>
          <w:jc w:val="center"/>
        </w:trPr>
        <w:tc>
          <w:tcPr>
            <w:tcW w:w="7125" w:type="dxa"/>
            <w:gridSpan w:val="4"/>
            <w:tcBorders>
              <w:top w:val="single" w:color="auto" w:sz="8" w:space="0"/>
              <w:left w:val="single" w:color="auto" w:sz="8" w:space="0"/>
              <w:bottom w:val="single" w:color="auto" w:sz="8" w:space="0"/>
              <w:right w:val="single" w:color="000000" w:sz="8" w:space="0"/>
            </w:tcBorders>
            <w:noWrap/>
            <w:vAlign w:val="center"/>
          </w:tcPr>
          <w:p>
            <w:pPr>
              <w:widowControl/>
              <w:spacing w:line="200" w:lineRule="exact"/>
              <w:jc w:val="center"/>
              <w:outlineLvl w:val="9"/>
              <w:rPr>
                <w:rFonts w:ascii="宋体" w:hAnsi="宋体" w:cs="宋体"/>
                <w:color w:val="000000"/>
                <w:kern w:val="0"/>
                <w:sz w:val="16"/>
                <w:szCs w:val="28"/>
              </w:rPr>
            </w:pPr>
            <w:r>
              <w:rPr>
                <w:rFonts w:hint="eastAsia" w:ascii="宋体" w:hAnsi="宋体" w:cs="宋体"/>
                <w:color w:val="000000"/>
                <w:kern w:val="0"/>
                <w:sz w:val="16"/>
                <w:szCs w:val="28"/>
              </w:rPr>
              <w:t>合计</w:t>
            </w:r>
          </w:p>
        </w:tc>
        <w:tc>
          <w:tcPr>
            <w:tcW w:w="767" w:type="dxa"/>
            <w:tcBorders>
              <w:top w:val="nil"/>
              <w:left w:val="single" w:color="auto" w:sz="4" w:space="0"/>
              <w:bottom w:val="single" w:color="auto" w:sz="8" w:space="0"/>
              <w:right w:val="single" w:color="auto" w:sz="4" w:space="0"/>
            </w:tcBorders>
            <w:noWrap/>
            <w:vAlign w:val="center"/>
          </w:tcPr>
          <w:p>
            <w:pPr>
              <w:widowControl/>
              <w:spacing w:line="200" w:lineRule="exact"/>
              <w:ind w:left="0" w:leftChars="0" w:firstLine="0" w:firstLineChars="0"/>
              <w:jc w:val="center"/>
              <w:outlineLvl w:val="9"/>
              <w:rPr>
                <w:rFonts w:ascii="宋体" w:hAnsi="宋体" w:cs="宋体"/>
                <w:color w:val="000000"/>
                <w:kern w:val="0"/>
                <w:sz w:val="16"/>
                <w:szCs w:val="28"/>
              </w:rPr>
            </w:pPr>
            <w:r>
              <w:rPr>
                <w:rFonts w:ascii="宋体" w:hAnsi="宋体" w:cs="宋体"/>
                <w:color w:val="000000"/>
                <w:kern w:val="0"/>
                <w:sz w:val="16"/>
                <w:szCs w:val="28"/>
              </w:rPr>
              <w:t>1000</w:t>
            </w:r>
          </w:p>
        </w:tc>
        <w:tc>
          <w:tcPr>
            <w:tcW w:w="992" w:type="dxa"/>
            <w:tcBorders>
              <w:top w:val="nil"/>
              <w:left w:val="nil"/>
              <w:bottom w:val="single" w:color="auto" w:sz="8" w:space="0"/>
              <w:right w:val="single" w:color="auto" w:sz="4" w:space="0"/>
            </w:tcBorders>
            <w:noWrap/>
            <w:vAlign w:val="center"/>
          </w:tcPr>
          <w:p>
            <w:pPr>
              <w:widowControl/>
              <w:spacing w:line="200" w:lineRule="exact"/>
              <w:ind w:left="0" w:leftChars="0" w:firstLine="0" w:firstLineChars="0"/>
              <w:jc w:val="center"/>
              <w:outlineLvl w:val="9"/>
              <w:rPr>
                <w:rFonts w:ascii="宋体" w:hAnsi="宋体" w:cs="宋体"/>
                <w:color w:val="000000"/>
                <w:kern w:val="0"/>
                <w:sz w:val="16"/>
                <w:szCs w:val="28"/>
              </w:rPr>
            </w:pPr>
            <w:r>
              <w:rPr>
                <w:rFonts w:ascii="宋体" w:hAnsi="宋体" w:cs="宋体"/>
                <w:color w:val="000000"/>
                <w:kern w:val="0"/>
                <w:sz w:val="16"/>
                <w:szCs w:val="28"/>
              </w:rPr>
              <w:t>200</w:t>
            </w:r>
          </w:p>
        </w:tc>
        <w:tc>
          <w:tcPr>
            <w:tcW w:w="781" w:type="dxa"/>
            <w:tcBorders>
              <w:top w:val="nil"/>
              <w:left w:val="nil"/>
              <w:bottom w:val="single" w:color="auto" w:sz="8" w:space="0"/>
              <w:right w:val="single" w:color="auto" w:sz="8" w:space="0"/>
            </w:tcBorders>
            <w:noWrap/>
            <w:vAlign w:val="center"/>
          </w:tcPr>
          <w:p>
            <w:pPr>
              <w:widowControl/>
              <w:spacing w:line="200" w:lineRule="exact"/>
              <w:ind w:left="0" w:leftChars="0" w:firstLine="0" w:firstLineChars="0"/>
              <w:jc w:val="center"/>
              <w:outlineLvl w:val="9"/>
              <w:rPr>
                <w:rFonts w:ascii="宋体" w:hAnsi="宋体" w:cs="宋体"/>
                <w:color w:val="000000"/>
                <w:kern w:val="0"/>
                <w:sz w:val="16"/>
                <w:szCs w:val="28"/>
              </w:rPr>
            </w:pPr>
            <w:r>
              <w:rPr>
                <w:rFonts w:ascii="宋体" w:hAnsi="宋体" w:cs="宋体"/>
                <w:color w:val="000000"/>
                <w:kern w:val="0"/>
                <w:sz w:val="16"/>
                <w:szCs w:val="28"/>
              </w:rPr>
              <w:t>1200</w:t>
            </w:r>
          </w:p>
        </w:tc>
      </w:tr>
    </w:tbl>
    <w:p>
      <w:pPr>
        <w:keepNext w:val="0"/>
        <w:keepLines w:val="0"/>
        <w:pageBreakBefore w:val="0"/>
        <w:widowControl w:val="0"/>
        <w:kinsoku/>
        <w:wordWrap/>
        <w:overflowPunct/>
        <w:topLinePunct w:val="0"/>
        <w:autoSpaceDE/>
        <w:autoSpaceDN/>
        <w:bidi w:val="0"/>
        <w:adjustRightInd/>
        <w:snapToGrid w:val="0"/>
        <w:spacing w:line="500" w:lineRule="exact"/>
        <w:ind w:firstLine="520" w:firstLineChars="200"/>
        <w:textAlignment w:val="baseline"/>
        <w:outlineLvl w:val="9"/>
        <w:rPr>
          <w:rFonts w:hint="eastAsia" w:ascii="黑体" w:hAnsi="黑体" w:eastAsia="黑体" w:cs="黑体"/>
          <w:color w:val="000000"/>
          <w:kern w:val="0"/>
          <w:sz w:val="26"/>
          <w:szCs w:val="26"/>
        </w:rPr>
        <w:sectPr>
          <w:type w:val="continuous"/>
          <w:pgSz w:w="12240" w:h="16498"/>
          <w:pgMar w:top="1145" w:right="1389" w:bottom="1134" w:left="1389" w:header="1043" w:footer="992" w:gutter="0"/>
          <w:pgNumType w:fmt="decimal"/>
          <w:cols w:space="425"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val="0"/>
        <w:spacing w:line="460" w:lineRule="exact"/>
        <w:ind w:firstLine="520" w:firstLineChars="200"/>
        <w:textAlignment w:val="baseline"/>
        <w:outlineLvl w:val="9"/>
        <w:rPr>
          <w:rFonts w:hint="eastAsia" w:ascii="黑体" w:hAnsi="黑体" w:eastAsia="黑体" w:cs="黑体"/>
          <w:color w:val="000000"/>
          <w:kern w:val="0"/>
          <w:sz w:val="26"/>
          <w:szCs w:val="26"/>
        </w:rPr>
      </w:pPr>
      <w:bookmarkStart w:id="121" w:name="_Toc7241"/>
      <w:r>
        <w:rPr>
          <w:rFonts w:hint="eastAsia" w:ascii="黑体" w:hAnsi="黑体" w:eastAsia="黑体" w:cs="黑体"/>
          <w:color w:val="000000"/>
          <w:kern w:val="0"/>
          <w:sz w:val="26"/>
          <w:szCs w:val="26"/>
        </w:rPr>
        <w:t>七、预期效果</w:t>
      </w:r>
      <w:bookmarkEnd w:id="121"/>
    </w:p>
    <w:p>
      <w:pPr>
        <w:pStyle w:val="5"/>
        <w:bidi w:val="0"/>
      </w:pPr>
      <w:bookmarkStart w:id="122" w:name="_Toc21373"/>
      <w:r>
        <w:rPr>
          <w:rFonts w:hint="eastAsia"/>
        </w:rPr>
        <w:t>（一）经济效益</w:t>
      </w:r>
      <w:bookmarkEnd w:id="122"/>
    </w:p>
    <w:p>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outlineLvl w:val="9"/>
        <w:rPr>
          <w:rFonts w:ascii="仿宋_GB2312" w:hAnsi="仿宋_GB2312" w:eastAsia="仿宋_GB2312" w:cs="仿宋_GB2312"/>
          <w:sz w:val="24"/>
          <w:szCs w:val="24"/>
        </w:rPr>
      </w:pPr>
      <w:r>
        <w:rPr>
          <w:rFonts w:hint="eastAsia" w:ascii="仿宋_GB2312" w:hAnsi="仿宋_GB2312" w:eastAsia="仿宋_GB2312" w:cs="仿宋_GB2312"/>
          <w:kern w:val="0"/>
          <w:sz w:val="24"/>
          <w:szCs w:val="24"/>
        </w:rPr>
        <w:t>将培育乡村</w:t>
      </w:r>
      <w:r>
        <w:rPr>
          <w:rFonts w:ascii="仿宋_GB2312" w:hAnsi="仿宋_GB2312" w:eastAsia="仿宋_GB2312" w:cs="仿宋_GB2312"/>
          <w:kern w:val="0"/>
          <w:sz w:val="24"/>
          <w:szCs w:val="24"/>
        </w:rPr>
        <w:t>e</w:t>
      </w:r>
      <w:r>
        <w:rPr>
          <w:rFonts w:hint="eastAsia" w:ascii="仿宋_GB2312" w:hAnsi="仿宋_GB2312" w:eastAsia="仿宋_GB2312" w:cs="仿宋_GB2312"/>
          <w:kern w:val="0"/>
          <w:sz w:val="24"/>
          <w:szCs w:val="24"/>
        </w:rPr>
        <w:t>镇与电子商务进农村综合示范、文旅紧密结合起来，统筹资源，</w:t>
      </w:r>
      <w:r>
        <w:rPr>
          <w:rFonts w:hint="eastAsia" w:ascii="仿宋_GB2312" w:hAnsi="仿宋_GB2312" w:eastAsia="仿宋_GB2312" w:cs="仿宋_GB2312"/>
          <w:sz w:val="24"/>
          <w:szCs w:val="24"/>
        </w:rPr>
        <w:t>为企业营造良好的营商环境。随着我市苏龙口镇旅游业的不断推进，旅游产业成熟度不断提高，与周边市（县）风景区共同组合形成区域旅游产品，在行、游、住、食、购、娱、信息等七方面的综合消费和游客滞留时间相对增加，购物消费、娱乐消费相对增长，旅游消费将大大增长。</w:t>
      </w:r>
    </w:p>
    <w:p>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outlineLvl w:val="9"/>
        <w:rPr>
          <w:rFonts w:ascii="仿宋_GB2312" w:hAnsi="仿宋_GB2312" w:eastAsia="仿宋_GB2312" w:cs="仿宋_GB2312"/>
          <w:kern w:val="0"/>
          <w:sz w:val="24"/>
          <w:szCs w:val="24"/>
        </w:rPr>
      </w:pPr>
      <w:r>
        <w:rPr>
          <w:rFonts w:hint="eastAsia" w:ascii="仿宋_GB2312" w:hAnsi="仿宋_GB2312" w:eastAsia="仿宋_GB2312" w:cs="仿宋_GB2312"/>
          <w:sz w:val="24"/>
          <w:szCs w:val="24"/>
        </w:rPr>
        <w:t>通过强化乡村</w:t>
      </w:r>
      <w:r>
        <w:rPr>
          <w:rFonts w:ascii="仿宋_GB2312" w:hAnsi="仿宋_GB2312" w:eastAsia="仿宋_GB2312" w:cs="仿宋_GB2312"/>
          <w:sz w:val="24"/>
          <w:szCs w:val="24"/>
        </w:rPr>
        <w:t>e</w:t>
      </w:r>
      <w:r>
        <w:rPr>
          <w:rFonts w:hint="eastAsia" w:ascii="仿宋_GB2312" w:hAnsi="仿宋_GB2312" w:eastAsia="仿宋_GB2312" w:cs="仿宋_GB2312"/>
          <w:sz w:val="24"/>
          <w:szCs w:val="24"/>
        </w:rPr>
        <w:t>镇的管理和服务，增强吸引力，吸引省内外、市内外的资本、人才、技术等集聚乡村</w:t>
      </w:r>
      <w:r>
        <w:rPr>
          <w:rFonts w:ascii="仿宋_GB2312" w:hAnsi="仿宋_GB2312" w:eastAsia="仿宋_GB2312" w:cs="仿宋_GB2312"/>
          <w:sz w:val="24"/>
          <w:szCs w:val="24"/>
        </w:rPr>
        <w:t>e</w:t>
      </w:r>
      <w:r>
        <w:rPr>
          <w:rFonts w:hint="eastAsia" w:ascii="仿宋_GB2312" w:hAnsi="仿宋_GB2312" w:eastAsia="仿宋_GB2312" w:cs="仿宋_GB2312"/>
          <w:sz w:val="24"/>
          <w:szCs w:val="24"/>
        </w:rPr>
        <w:t>镇，形成群体优势，产生集聚效应和辐射带动效应。</w:t>
      </w:r>
      <w:r>
        <w:rPr>
          <w:rFonts w:hint="eastAsia" w:ascii="仿宋_GB2312" w:hAnsi="仿宋_GB2312" w:eastAsia="仿宋_GB2312" w:cs="仿宋_GB2312"/>
          <w:kern w:val="0"/>
          <w:sz w:val="24"/>
          <w:szCs w:val="24"/>
        </w:rPr>
        <w:t>以</w:t>
      </w:r>
      <w:r>
        <w:rPr>
          <w:rFonts w:hint="eastAsia" w:ascii="仿宋_GB2312" w:hAnsi="仿宋_GB2312" w:eastAsia="仿宋_GB2312" w:cs="仿宋_GB2312"/>
          <w:sz w:val="24"/>
          <w:szCs w:val="24"/>
        </w:rPr>
        <w:t>全产业链发展为抓手，通过产业链条拉长、网络零售额增长、地方税收增加和土地增值来推动乡村</w:t>
      </w:r>
      <w:r>
        <w:rPr>
          <w:rFonts w:ascii="仿宋_GB2312" w:hAnsi="仿宋_GB2312" w:eastAsia="仿宋_GB2312" w:cs="仿宋_GB2312"/>
          <w:sz w:val="24"/>
          <w:szCs w:val="24"/>
        </w:rPr>
        <w:t>e</w:t>
      </w:r>
      <w:r>
        <w:rPr>
          <w:rFonts w:hint="eastAsia" w:ascii="仿宋_GB2312" w:hAnsi="仿宋_GB2312" w:eastAsia="仿宋_GB2312" w:cs="仿宋_GB2312"/>
          <w:sz w:val="24"/>
          <w:szCs w:val="24"/>
        </w:rPr>
        <w:t>镇的总产值不断增加</w:t>
      </w:r>
      <w:r>
        <w:rPr>
          <w:rFonts w:hint="eastAsia" w:ascii="仿宋_GB2312" w:hAnsi="仿宋_GB2312" w:eastAsia="仿宋_GB2312" w:cs="仿宋_GB2312"/>
          <w:kern w:val="0"/>
          <w:sz w:val="24"/>
          <w:szCs w:val="24"/>
        </w:rPr>
        <w:t>，从而拉动整个乡村</w:t>
      </w:r>
      <w:r>
        <w:rPr>
          <w:rFonts w:ascii="仿宋_GB2312" w:hAnsi="仿宋_GB2312" w:eastAsia="仿宋_GB2312" w:cs="仿宋_GB2312"/>
          <w:kern w:val="0"/>
          <w:sz w:val="24"/>
          <w:szCs w:val="24"/>
        </w:rPr>
        <w:t>e</w:t>
      </w:r>
      <w:r>
        <w:rPr>
          <w:rFonts w:hint="eastAsia" w:ascii="仿宋_GB2312" w:hAnsi="仿宋_GB2312" w:eastAsia="仿宋_GB2312" w:cs="仿宋_GB2312"/>
          <w:kern w:val="0"/>
          <w:sz w:val="24"/>
          <w:szCs w:val="24"/>
        </w:rPr>
        <w:t>镇以及全市经济的快速增长。</w:t>
      </w:r>
    </w:p>
    <w:p>
      <w:pPr>
        <w:pStyle w:val="5"/>
        <w:bidi w:val="0"/>
      </w:pPr>
      <w:bookmarkStart w:id="123" w:name="_Toc3501"/>
      <w:r>
        <w:rPr>
          <w:rFonts w:hint="eastAsia"/>
        </w:rPr>
        <w:t>（二）社会效益</w:t>
      </w:r>
      <w:bookmarkEnd w:id="123"/>
    </w:p>
    <w:p>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outlineLvl w:val="9"/>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我市长期坚持、努力不懈打造旅游品牌和精品线路，把培育乡村</w:t>
      </w:r>
      <w:r>
        <w:rPr>
          <w:rFonts w:ascii="仿宋_GB2312" w:hAnsi="仿宋_GB2312" w:eastAsia="仿宋_GB2312" w:cs="仿宋_GB2312"/>
          <w:kern w:val="0"/>
          <w:sz w:val="24"/>
          <w:szCs w:val="24"/>
        </w:rPr>
        <w:t>e</w:t>
      </w:r>
      <w:r>
        <w:rPr>
          <w:rFonts w:hint="eastAsia" w:ascii="仿宋_GB2312" w:hAnsi="仿宋_GB2312" w:eastAsia="仿宋_GB2312" w:cs="仿宋_GB2312"/>
          <w:kern w:val="0"/>
          <w:sz w:val="24"/>
          <w:szCs w:val="24"/>
        </w:rPr>
        <w:t>镇工作与旅游业结合起来，大力扶持古村木图等适合旅游业发展的贫困地区，深入实施乡村旅游工程，充分发挥培育乡村</w:t>
      </w:r>
      <w:r>
        <w:rPr>
          <w:rFonts w:ascii="仿宋_GB2312" w:hAnsi="仿宋_GB2312" w:eastAsia="仿宋_GB2312" w:cs="仿宋_GB2312"/>
          <w:kern w:val="0"/>
          <w:sz w:val="24"/>
          <w:szCs w:val="24"/>
        </w:rPr>
        <w:t>e</w:t>
      </w:r>
      <w:r>
        <w:rPr>
          <w:rFonts w:hint="eastAsia" w:ascii="仿宋_GB2312" w:hAnsi="仿宋_GB2312" w:eastAsia="仿宋_GB2312" w:cs="仿宋_GB2312"/>
          <w:kern w:val="0"/>
          <w:sz w:val="24"/>
          <w:szCs w:val="24"/>
        </w:rPr>
        <w:t>镇在助推乡村振兴中的重要作用。在培育乡村</w:t>
      </w:r>
      <w:r>
        <w:rPr>
          <w:rFonts w:ascii="仿宋_GB2312" w:hAnsi="仿宋_GB2312" w:eastAsia="仿宋_GB2312" w:cs="仿宋_GB2312"/>
          <w:kern w:val="0"/>
          <w:sz w:val="24"/>
          <w:szCs w:val="24"/>
        </w:rPr>
        <w:t>e</w:t>
      </w:r>
      <w:r>
        <w:rPr>
          <w:rFonts w:hint="eastAsia" w:ascii="仿宋_GB2312" w:hAnsi="仿宋_GB2312" w:eastAsia="仿宋_GB2312" w:cs="仿宋_GB2312"/>
          <w:kern w:val="0"/>
          <w:sz w:val="24"/>
          <w:szCs w:val="24"/>
        </w:rPr>
        <w:t>镇工作中，通过交通运输、餐饮业、酒店业、娱乐业、购物业、旅游商品加工、民族民间工艺品开发、民间文化推广等，实现开放带动、文化交流、经济往来，增加当地居民的就业机会，促使当地居民实现增收，提高人民生活水平。把培育乡村</w:t>
      </w:r>
      <w:r>
        <w:rPr>
          <w:rFonts w:ascii="仿宋_GB2312" w:hAnsi="仿宋_GB2312" w:eastAsia="仿宋_GB2312" w:cs="仿宋_GB2312"/>
          <w:kern w:val="0"/>
          <w:sz w:val="24"/>
          <w:szCs w:val="24"/>
        </w:rPr>
        <w:t>e</w:t>
      </w:r>
      <w:r>
        <w:rPr>
          <w:rFonts w:hint="eastAsia" w:ascii="仿宋_GB2312" w:hAnsi="仿宋_GB2312" w:eastAsia="仿宋_GB2312" w:cs="仿宋_GB2312"/>
          <w:kern w:val="0"/>
          <w:sz w:val="24"/>
          <w:szCs w:val="24"/>
        </w:rPr>
        <w:t>镇工作与电子商务进农村综合示范结合起来，拓展农产品的销售途径，促进我市农村电商的进一步发展；加强我市城乡之间的交流和往来，促进我市城乡一体化；优化我市的农村资源配置及农业结构，改变农村的产业发展和经营模式，培育、壮大新型市场主体，生产出更多更加符合消费者需求的好产品。</w:t>
      </w:r>
    </w:p>
    <w:p>
      <w:pPr>
        <w:pStyle w:val="5"/>
        <w:bidi w:val="0"/>
      </w:pPr>
      <w:bookmarkStart w:id="124" w:name="_Toc8551"/>
      <w:r>
        <w:rPr>
          <w:rFonts w:hint="eastAsia"/>
        </w:rPr>
        <w:t>（三）环境效益</w:t>
      </w:r>
      <w:bookmarkEnd w:id="124"/>
    </w:p>
    <w:p>
      <w:pPr>
        <w:pStyle w:val="41"/>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outlineLvl w:val="9"/>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生态环境是人类生存和发展的基本条件，是经济和社会发展的基础。通过对乡村</w:t>
      </w:r>
      <w:r>
        <w:rPr>
          <w:rFonts w:ascii="仿宋_GB2312" w:hAnsi="仿宋_GB2312" w:eastAsia="仿宋_GB2312" w:cs="仿宋_GB2312"/>
          <w:kern w:val="0"/>
          <w:sz w:val="24"/>
          <w:szCs w:val="24"/>
        </w:rPr>
        <w:t>e</w:t>
      </w:r>
      <w:r>
        <w:rPr>
          <w:rFonts w:hint="eastAsia" w:ascii="仿宋_GB2312" w:hAnsi="仿宋_GB2312" w:eastAsia="仿宋_GB2312" w:cs="仿宋_GB2312"/>
          <w:kern w:val="0"/>
          <w:sz w:val="24"/>
          <w:szCs w:val="24"/>
        </w:rPr>
        <w:t>镇进行科学合理的规划，实现培育乡村</w:t>
      </w:r>
      <w:r>
        <w:rPr>
          <w:rFonts w:ascii="仿宋_GB2312" w:hAnsi="仿宋_GB2312" w:eastAsia="仿宋_GB2312" w:cs="仿宋_GB2312"/>
          <w:kern w:val="0"/>
          <w:sz w:val="24"/>
          <w:szCs w:val="24"/>
        </w:rPr>
        <w:t>e</w:t>
      </w:r>
      <w:r>
        <w:rPr>
          <w:rFonts w:hint="eastAsia" w:ascii="仿宋_GB2312" w:hAnsi="仿宋_GB2312" w:eastAsia="仿宋_GB2312" w:cs="仿宋_GB2312"/>
          <w:kern w:val="0"/>
          <w:sz w:val="24"/>
          <w:szCs w:val="24"/>
        </w:rPr>
        <w:t>镇与生态环境建设同步进行，边培育、边建设，使乡村成为生态建设示范区。通过乡村</w:t>
      </w:r>
      <w:r>
        <w:rPr>
          <w:rFonts w:ascii="仿宋_GB2312" w:hAnsi="仿宋_GB2312" w:eastAsia="仿宋_GB2312" w:cs="仿宋_GB2312"/>
          <w:kern w:val="0"/>
          <w:sz w:val="24"/>
          <w:szCs w:val="24"/>
        </w:rPr>
        <w:t>e</w:t>
      </w:r>
      <w:r>
        <w:rPr>
          <w:rFonts w:hint="eastAsia" w:ascii="仿宋_GB2312" w:hAnsi="仿宋_GB2312" w:eastAsia="仿宋_GB2312" w:cs="仿宋_GB2312"/>
          <w:kern w:val="0"/>
          <w:sz w:val="24"/>
          <w:szCs w:val="24"/>
        </w:rPr>
        <w:t>镇建设，提高区域农业资源的合理开发和高效利用，并采用多元化的种植结构、产品综合开发、资源再生利用等多种手段，实现生态环境良性循环。培育乡村</w:t>
      </w:r>
      <w:r>
        <w:rPr>
          <w:rFonts w:ascii="仿宋_GB2312" w:hAnsi="仿宋_GB2312" w:eastAsia="仿宋_GB2312" w:cs="仿宋_GB2312"/>
          <w:kern w:val="0"/>
          <w:sz w:val="24"/>
          <w:szCs w:val="24"/>
        </w:rPr>
        <w:t>e</w:t>
      </w:r>
      <w:r>
        <w:rPr>
          <w:rFonts w:hint="eastAsia" w:ascii="仿宋_GB2312" w:hAnsi="仿宋_GB2312" w:eastAsia="仿宋_GB2312" w:cs="仿宋_GB2312"/>
          <w:kern w:val="0"/>
          <w:sz w:val="24"/>
          <w:szCs w:val="24"/>
        </w:rPr>
        <w:t>镇有利于对当地的旅游资源的保护开发，同时有利于文化遗产的传承和发展，更有利于我市经济的发展，改变我市部分村庄较为落后的现状，树立村庄新形象，提高我市知名度，增加我市综合竞争能力。</w:t>
      </w:r>
    </w:p>
    <w:p>
      <w:pPr>
        <w:pStyle w:val="41"/>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outlineLvl w:val="9"/>
        <w:rPr>
          <w:rFonts w:ascii="仿宋_GB2312" w:hAnsi="仿宋_GB2312" w:eastAsia="仿宋_GB2312" w:cs="仿宋_GB2312"/>
          <w:kern w:val="0"/>
          <w:sz w:val="24"/>
          <w:szCs w:val="24"/>
        </w:rPr>
      </w:pPr>
    </w:p>
    <w:p>
      <w:pPr>
        <w:pStyle w:val="41"/>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outlineLvl w:val="9"/>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附件：原平市培育乡村</w:t>
      </w:r>
      <w:r>
        <w:rPr>
          <w:rFonts w:ascii="仿宋_GB2312" w:hAnsi="仿宋_GB2312" w:eastAsia="仿宋_GB2312" w:cs="仿宋_GB2312"/>
          <w:kern w:val="0"/>
          <w:sz w:val="24"/>
          <w:szCs w:val="24"/>
        </w:rPr>
        <w:t>e</w:t>
      </w:r>
      <w:r>
        <w:rPr>
          <w:rFonts w:hint="eastAsia" w:ascii="仿宋_GB2312" w:hAnsi="仿宋_GB2312" w:eastAsia="仿宋_GB2312" w:cs="仿宋_GB2312"/>
          <w:kern w:val="0"/>
          <w:sz w:val="24"/>
          <w:szCs w:val="24"/>
        </w:rPr>
        <w:t>镇工作领导组</w:t>
      </w:r>
    </w:p>
    <w:p>
      <w:pPr>
        <w:spacing w:line="600" w:lineRule="exact"/>
        <w:ind w:firstLine="640" w:firstLineChars="200"/>
        <w:outlineLvl w:val="9"/>
        <w:rPr>
          <w:rFonts w:hint="eastAsia" w:ascii="仿宋_GB2312" w:eastAsia="仿宋_GB2312"/>
          <w:sz w:val="32"/>
          <w:szCs w:val="32"/>
        </w:rPr>
        <w:sectPr>
          <w:type w:val="continuous"/>
          <w:pgSz w:w="12240" w:h="16498"/>
          <w:pgMar w:top="1145" w:right="1389" w:bottom="1134" w:left="1389" w:header="1043" w:footer="992" w:gutter="0"/>
          <w:pgNumType w:fmt="decimal"/>
          <w:cols w:equalWidth="0" w:num="2">
            <w:col w:w="4518" w:space="425"/>
            <w:col w:w="4518"/>
          </w:cols>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val="0"/>
        <w:spacing w:before="200" w:line="480" w:lineRule="exact"/>
        <w:ind w:left="0" w:leftChars="0" w:firstLine="0" w:firstLineChars="0"/>
        <w:textAlignment w:val="auto"/>
        <w:outlineLvl w:val="9"/>
        <w:rPr>
          <w:rFonts w:hint="eastAsia" w:ascii="黑体" w:hAnsi="黑体" w:eastAsia="黑体"/>
          <w:sz w:val="26"/>
          <w:szCs w:val="26"/>
        </w:rPr>
      </w:pPr>
      <w:r>
        <w:rPr>
          <w:rFonts w:hint="eastAsia" w:ascii="黑体" w:hAnsi="黑体" w:eastAsia="黑体"/>
          <w:sz w:val="26"/>
          <w:szCs w:val="26"/>
        </w:rPr>
        <w:t>附件：</w:t>
      </w:r>
    </w:p>
    <w:p>
      <w:pPr>
        <w:pStyle w:val="41"/>
        <w:spacing w:line="240" w:lineRule="exact"/>
        <w:ind w:firstLine="0" w:firstLineChars="0"/>
        <w:outlineLvl w:val="9"/>
        <w:rPr>
          <w:rFonts w:hint="eastAsia" w:ascii="方正大标宋_GBK" w:hAnsi="方正大标宋_GBK" w:eastAsia="方正小标宋_GBK" w:cs="方正大标宋_GBK"/>
          <w:kern w:val="44"/>
          <w:sz w:val="42"/>
          <w:szCs w:val="24"/>
          <w:lang w:val="en-US" w:eastAsia="zh-CN" w:bidi="ar-SA"/>
        </w:rPr>
      </w:pPr>
    </w:p>
    <w:p>
      <w:pPr>
        <w:pStyle w:val="32"/>
        <w:bidi w:val="0"/>
        <w:outlineLvl w:val="9"/>
      </w:pPr>
      <w:r>
        <w:rPr>
          <w:rFonts w:hint="eastAsia"/>
          <w:lang w:val="en-US" w:eastAsia="zh-CN"/>
        </w:rPr>
        <w:t>原平市培育乡村e镇工作领导组</w:t>
      </w:r>
    </w:p>
    <w:p>
      <w:pPr>
        <w:pStyle w:val="41"/>
        <w:spacing w:line="240" w:lineRule="exact"/>
        <w:ind w:firstLine="0" w:firstLineChars="0"/>
        <w:outlineLvl w:val="9"/>
        <w:rPr>
          <w:rFonts w:ascii="仿宋_GB2312" w:hAnsi="仿宋_GB2312" w:eastAsia="仿宋_GB2312" w:cs="仿宋_GB2312"/>
          <w:kern w:val="0"/>
          <w:sz w:val="32"/>
          <w:szCs w:val="32"/>
        </w:rPr>
      </w:pPr>
    </w:p>
    <w:p>
      <w:pPr>
        <w:pStyle w:val="41"/>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outlineLvl w:val="9"/>
        <w:rPr>
          <w:rFonts w:hint="eastAsia" w:ascii="仿宋_GB2312" w:hAnsi="仿宋_GB2312" w:eastAsia="仿宋_GB2312" w:cs="仿宋_GB2312"/>
          <w:kern w:val="0"/>
          <w:sz w:val="24"/>
          <w:szCs w:val="24"/>
        </w:rPr>
        <w:sectPr>
          <w:type w:val="continuous"/>
          <w:pgSz w:w="12240" w:h="16498"/>
          <w:pgMar w:top="1145" w:right="1389" w:bottom="1134" w:left="1389" w:header="1043" w:footer="992" w:gutter="0"/>
          <w:pgNumType w:fmt="decimal"/>
          <w:cols w:space="425" w:num="1"/>
          <w:rtlGutter w:val="0"/>
          <w:docGrid w:type="lines" w:linePitch="312" w:charSpace="0"/>
        </w:sectPr>
      </w:pPr>
    </w:p>
    <w:p>
      <w:pPr>
        <w:pStyle w:val="41"/>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outlineLvl w:val="9"/>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为全面推动原平市爱木图古村落文化休闲生态旅游乡村</w:t>
      </w:r>
      <w:r>
        <w:rPr>
          <w:rFonts w:ascii="仿宋_GB2312" w:hAnsi="仿宋_GB2312" w:eastAsia="仿宋_GB2312" w:cs="仿宋_GB2312"/>
          <w:kern w:val="0"/>
          <w:sz w:val="24"/>
          <w:szCs w:val="24"/>
        </w:rPr>
        <w:t>e</w:t>
      </w:r>
      <w:r>
        <w:rPr>
          <w:rFonts w:hint="eastAsia" w:ascii="仿宋_GB2312" w:hAnsi="仿宋_GB2312" w:eastAsia="仿宋_GB2312" w:cs="仿宋_GB2312"/>
          <w:kern w:val="0"/>
          <w:sz w:val="24"/>
          <w:szCs w:val="24"/>
        </w:rPr>
        <w:t>镇培育工作，成立原平市培育乡村</w:t>
      </w:r>
      <w:r>
        <w:rPr>
          <w:rFonts w:ascii="仿宋_GB2312" w:hAnsi="仿宋_GB2312" w:eastAsia="仿宋_GB2312" w:cs="仿宋_GB2312"/>
          <w:kern w:val="0"/>
          <w:sz w:val="24"/>
          <w:szCs w:val="24"/>
        </w:rPr>
        <w:t>e</w:t>
      </w:r>
      <w:r>
        <w:rPr>
          <w:rFonts w:hint="eastAsia" w:ascii="仿宋_GB2312" w:hAnsi="仿宋_GB2312" w:eastAsia="仿宋_GB2312" w:cs="仿宋_GB2312"/>
          <w:kern w:val="0"/>
          <w:sz w:val="24"/>
          <w:szCs w:val="24"/>
        </w:rPr>
        <w:t>镇工作领导组，组成人员如下：</w:t>
      </w:r>
    </w:p>
    <w:p>
      <w:pPr>
        <w:pStyle w:val="41"/>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outlineLvl w:val="9"/>
        <w:rPr>
          <w:rFonts w:hint="eastAsia" w:ascii="仿宋_GB2312" w:hAnsi="仿宋_GB2312" w:eastAsia="仿宋_GB2312" w:cs="仿宋_GB2312"/>
          <w:kern w:val="0"/>
          <w:sz w:val="24"/>
          <w:szCs w:val="24"/>
        </w:rPr>
        <w:sectPr>
          <w:type w:val="continuous"/>
          <w:pgSz w:w="12240" w:h="16498"/>
          <w:pgMar w:top="1145" w:right="1389" w:bottom="1134" w:left="1389" w:header="1043" w:footer="992" w:gutter="0"/>
          <w:pgNumType w:fmt="decimal"/>
          <w:cols w:space="425" w:num="1"/>
          <w:rtlGutter w:val="0"/>
          <w:docGrid w:type="lines" w:linePitch="312" w:charSpace="0"/>
        </w:sectPr>
      </w:pPr>
    </w:p>
    <w:p>
      <w:pPr>
        <w:pStyle w:val="41"/>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outlineLvl w:val="9"/>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组</w:t>
      </w:r>
      <w:r>
        <w:rPr>
          <w:rFonts w:ascii="仿宋_GB2312" w:hAnsi="仿宋_GB2312" w:eastAsia="仿宋_GB2312" w:cs="仿宋_GB2312"/>
          <w:kern w:val="0"/>
          <w:sz w:val="24"/>
          <w:szCs w:val="24"/>
        </w:rPr>
        <w:t xml:space="preserve">  </w:t>
      </w:r>
      <w:r>
        <w:rPr>
          <w:rFonts w:hint="eastAsia" w:ascii="仿宋_GB2312" w:hAnsi="仿宋_GB2312" w:eastAsia="仿宋_GB2312" w:cs="仿宋_GB2312"/>
          <w:kern w:val="0"/>
          <w:sz w:val="24"/>
          <w:szCs w:val="24"/>
        </w:rPr>
        <w:t>长：</w:t>
      </w:r>
    </w:p>
    <w:p>
      <w:pPr>
        <w:pStyle w:val="41"/>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outlineLvl w:val="9"/>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常永峰</w:t>
      </w:r>
      <w:r>
        <w:rPr>
          <w:rFonts w:ascii="仿宋_GB2312" w:hAnsi="仿宋_GB2312" w:eastAsia="仿宋_GB2312" w:cs="仿宋_GB2312"/>
          <w:kern w:val="0"/>
          <w:sz w:val="24"/>
          <w:szCs w:val="24"/>
        </w:rPr>
        <w:t xml:space="preserve">  </w:t>
      </w:r>
      <w:r>
        <w:rPr>
          <w:rFonts w:hint="eastAsia" w:ascii="仿宋_GB2312" w:eastAsia="仿宋_GB2312"/>
          <w:sz w:val="24"/>
          <w:szCs w:val="24"/>
        </w:rPr>
        <w:t>市委副书记、市长</w:t>
      </w:r>
    </w:p>
    <w:p>
      <w:pPr>
        <w:pStyle w:val="41"/>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outlineLvl w:val="9"/>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副组长：</w:t>
      </w:r>
    </w:p>
    <w:p>
      <w:pPr>
        <w:pStyle w:val="41"/>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outlineLvl w:val="9"/>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朱清云</w:t>
      </w:r>
      <w:r>
        <w:rPr>
          <w:rFonts w:ascii="仿宋_GB2312" w:hAnsi="仿宋_GB2312" w:eastAsia="仿宋_GB2312" w:cs="仿宋_GB2312"/>
          <w:kern w:val="0"/>
          <w:sz w:val="24"/>
          <w:szCs w:val="24"/>
        </w:rPr>
        <w:t xml:space="preserve">  </w:t>
      </w:r>
      <w:r>
        <w:rPr>
          <w:rFonts w:hint="eastAsia" w:ascii="仿宋_GB2312" w:hAnsi="仿宋_GB2312" w:eastAsia="仿宋_GB2312" w:cs="仿宋_GB2312"/>
          <w:kern w:val="0"/>
          <w:sz w:val="24"/>
          <w:szCs w:val="24"/>
        </w:rPr>
        <w:t>市委常委、常务副市长</w:t>
      </w:r>
    </w:p>
    <w:p>
      <w:pPr>
        <w:pStyle w:val="41"/>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outlineLvl w:val="9"/>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成</w:t>
      </w:r>
      <w:r>
        <w:rPr>
          <w:rFonts w:ascii="仿宋_GB2312" w:hAnsi="仿宋_GB2312" w:eastAsia="仿宋_GB2312" w:cs="仿宋_GB2312"/>
          <w:kern w:val="0"/>
          <w:sz w:val="24"/>
          <w:szCs w:val="24"/>
        </w:rPr>
        <w:t xml:space="preserve">  </w:t>
      </w:r>
      <w:r>
        <w:rPr>
          <w:rFonts w:hint="eastAsia" w:ascii="仿宋_GB2312" w:hAnsi="仿宋_GB2312" w:eastAsia="仿宋_GB2312" w:cs="仿宋_GB2312"/>
          <w:kern w:val="0"/>
          <w:sz w:val="24"/>
          <w:szCs w:val="24"/>
        </w:rPr>
        <w:t>员：</w:t>
      </w:r>
    </w:p>
    <w:p>
      <w:pPr>
        <w:pStyle w:val="41"/>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outlineLvl w:val="9"/>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刘继盛</w:t>
      </w:r>
      <w:r>
        <w:rPr>
          <w:rFonts w:ascii="仿宋_GB2312" w:hAnsi="仿宋_GB2312" w:eastAsia="仿宋_GB2312" w:cs="仿宋_GB2312"/>
          <w:kern w:val="0"/>
          <w:sz w:val="24"/>
          <w:szCs w:val="24"/>
        </w:rPr>
        <w:t xml:space="preserve">  </w:t>
      </w:r>
      <w:r>
        <w:rPr>
          <w:rFonts w:hint="eastAsia" w:ascii="仿宋_GB2312" w:hAnsi="仿宋_GB2312" w:eastAsia="仿宋_GB2312" w:cs="仿宋_GB2312"/>
          <w:kern w:val="0"/>
          <w:sz w:val="24"/>
          <w:szCs w:val="24"/>
        </w:rPr>
        <w:t>市政协副主席、市财政局局长</w:t>
      </w:r>
    </w:p>
    <w:p>
      <w:pPr>
        <w:pStyle w:val="41"/>
        <w:keepNext w:val="0"/>
        <w:keepLines w:val="0"/>
        <w:pageBreakBefore w:val="0"/>
        <w:widowControl w:val="0"/>
        <w:tabs>
          <w:tab w:val="left" w:pos="1440"/>
        </w:tabs>
        <w:kinsoku/>
        <w:wordWrap/>
        <w:overflowPunct/>
        <w:topLinePunct w:val="0"/>
        <w:autoSpaceDE/>
        <w:autoSpaceDN/>
        <w:bidi w:val="0"/>
        <w:adjustRightInd/>
        <w:snapToGrid w:val="0"/>
        <w:spacing w:line="460" w:lineRule="exact"/>
        <w:ind w:left="1440" w:leftChars="200" w:hanging="960" w:hangingChars="400"/>
        <w:textAlignment w:val="auto"/>
        <w:outlineLvl w:val="9"/>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高志金</w:t>
      </w:r>
      <w:r>
        <w:rPr>
          <w:rFonts w:ascii="仿宋_GB2312" w:hAnsi="仿宋_GB2312" w:eastAsia="仿宋_GB2312" w:cs="仿宋_GB2312"/>
          <w:kern w:val="0"/>
          <w:sz w:val="24"/>
          <w:szCs w:val="24"/>
        </w:rPr>
        <w:t xml:space="preserve"> </w:t>
      </w:r>
      <w:r>
        <w:rPr>
          <w:rFonts w:hint="eastAsia" w:ascii="仿宋_GB2312" w:hAnsi="仿宋_GB2312" w:cs="仿宋_GB2312"/>
          <w:kern w:val="0"/>
          <w:sz w:val="24"/>
          <w:szCs w:val="24"/>
          <w:lang w:val="en-US" w:eastAsia="zh-CN"/>
        </w:rPr>
        <w:t xml:space="preserve"> </w:t>
      </w:r>
      <w:r>
        <w:rPr>
          <w:rFonts w:hint="eastAsia" w:ascii="仿宋_GB2312" w:hAnsi="仿宋_GB2312" w:eastAsia="仿宋_GB2312" w:cs="仿宋_GB2312"/>
          <w:kern w:val="0"/>
          <w:sz w:val="24"/>
          <w:szCs w:val="24"/>
        </w:rPr>
        <w:t>原平经济技术开发区管委会副主任</w:t>
      </w:r>
    </w:p>
    <w:p>
      <w:pPr>
        <w:pStyle w:val="41"/>
        <w:keepNext w:val="0"/>
        <w:keepLines w:val="0"/>
        <w:pageBreakBefore w:val="0"/>
        <w:widowControl w:val="0"/>
        <w:kinsoku/>
        <w:wordWrap/>
        <w:overflowPunct/>
        <w:topLinePunct w:val="0"/>
        <w:autoSpaceDE/>
        <w:autoSpaceDN/>
        <w:bidi w:val="0"/>
        <w:adjustRightInd/>
        <w:snapToGrid w:val="0"/>
        <w:spacing w:line="460" w:lineRule="exact"/>
        <w:ind w:left="1440" w:leftChars="200" w:hanging="960" w:hangingChars="400"/>
        <w:textAlignment w:val="auto"/>
        <w:outlineLvl w:val="9"/>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刘毅斌</w:t>
      </w:r>
      <w:r>
        <w:rPr>
          <w:rFonts w:ascii="仿宋_GB2312" w:hAnsi="仿宋_GB2312" w:eastAsia="仿宋_GB2312" w:cs="仿宋_GB2312"/>
          <w:kern w:val="0"/>
          <w:sz w:val="24"/>
          <w:szCs w:val="24"/>
        </w:rPr>
        <w:t xml:space="preserve">  </w:t>
      </w:r>
      <w:r>
        <w:rPr>
          <w:rFonts w:hint="eastAsia" w:ascii="仿宋_GB2312" w:hAnsi="仿宋_GB2312" w:eastAsia="仿宋_GB2312" w:cs="仿宋_GB2312"/>
          <w:kern w:val="0"/>
          <w:sz w:val="24"/>
          <w:szCs w:val="24"/>
        </w:rPr>
        <w:t>市政府办公室副主任、市行政审批局局长</w:t>
      </w:r>
    </w:p>
    <w:p>
      <w:pPr>
        <w:pStyle w:val="41"/>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outlineLvl w:val="9"/>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任泽峰</w:t>
      </w:r>
      <w:r>
        <w:rPr>
          <w:rFonts w:ascii="仿宋_GB2312" w:hAnsi="仿宋_GB2312" w:eastAsia="仿宋_GB2312" w:cs="仿宋_GB2312"/>
          <w:kern w:val="0"/>
          <w:sz w:val="24"/>
          <w:szCs w:val="24"/>
        </w:rPr>
        <w:t xml:space="preserve">  </w:t>
      </w:r>
      <w:r>
        <w:rPr>
          <w:rFonts w:hint="eastAsia" w:ascii="仿宋_GB2312" w:hAnsi="仿宋_GB2312" w:eastAsia="仿宋_GB2312" w:cs="仿宋_GB2312"/>
          <w:kern w:val="0"/>
          <w:sz w:val="24"/>
          <w:szCs w:val="24"/>
        </w:rPr>
        <w:t>市政府办公室副主任</w:t>
      </w:r>
    </w:p>
    <w:p>
      <w:pPr>
        <w:pStyle w:val="41"/>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outlineLvl w:val="9"/>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郭景田</w:t>
      </w:r>
      <w:r>
        <w:rPr>
          <w:rFonts w:ascii="仿宋_GB2312" w:hAnsi="仿宋_GB2312" w:eastAsia="仿宋_GB2312" w:cs="仿宋_GB2312"/>
          <w:kern w:val="0"/>
          <w:sz w:val="24"/>
          <w:szCs w:val="24"/>
        </w:rPr>
        <w:t xml:space="preserve">  </w:t>
      </w:r>
      <w:r>
        <w:rPr>
          <w:rFonts w:hint="eastAsia" w:ascii="仿宋_GB2312" w:hAnsi="仿宋_GB2312" w:eastAsia="仿宋_GB2312" w:cs="仿宋_GB2312"/>
          <w:kern w:val="0"/>
          <w:sz w:val="24"/>
          <w:szCs w:val="24"/>
        </w:rPr>
        <w:t>市发展改革局局长</w:t>
      </w:r>
    </w:p>
    <w:p>
      <w:pPr>
        <w:pStyle w:val="41"/>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outlineLvl w:val="9"/>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刘永顺</w:t>
      </w:r>
      <w:r>
        <w:rPr>
          <w:rFonts w:ascii="仿宋_GB2312" w:hAnsi="仿宋_GB2312" w:eastAsia="仿宋_GB2312" w:cs="仿宋_GB2312"/>
          <w:kern w:val="0"/>
          <w:sz w:val="24"/>
          <w:szCs w:val="24"/>
        </w:rPr>
        <w:t xml:space="preserve">  </w:t>
      </w:r>
      <w:r>
        <w:rPr>
          <w:rFonts w:hint="eastAsia" w:ascii="仿宋_GB2312" w:hAnsi="仿宋_GB2312" w:eastAsia="仿宋_GB2312" w:cs="仿宋_GB2312"/>
          <w:kern w:val="0"/>
          <w:sz w:val="24"/>
          <w:szCs w:val="24"/>
        </w:rPr>
        <w:t>市教科局局长</w:t>
      </w:r>
    </w:p>
    <w:p>
      <w:pPr>
        <w:pStyle w:val="41"/>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outlineLvl w:val="9"/>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赵建荣</w:t>
      </w:r>
      <w:r>
        <w:rPr>
          <w:rFonts w:ascii="仿宋_GB2312" w:hAnsi="仿宋_GB2312" w:eastAsia="仿宋_GB2312" w:cs="仿宋_GB2312"/>
          <w:kern w:val="0"/>
          <w:sz w:val="24"/>
          <w:szCs w:val="24"/>
        </w:rPr>
        <w:t xml:space="preserve">  </w:t>
      </w:r>
      <w:r>
        <w:rPr>
          <w:rFonts w:hint="eastAsia" w:ascii="仿宋_GB2312" w:hAnsi="仿宋_GB2312" w:eastAsia="仿宋_GB2312" w:cs="仿宋_GB2312"/>
          <w:kern w:val="0"/>
          <w:sz w:val="24"/>
          <w:szCs w:val="24"/>
        </w:rPr>
        <w:t>市工信局局长</w:t>
      </w:r>
    </w:p>
    <w:p>
      <w:pPr>
        <w:pStyle w:val="41"/>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outlineLvl w:val="9"/>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辛自为</w:t>
      </w:r>
      <w:r>
        <w:rPr>
          <w:rFonts w:ascii="仿宋_GB2312" w:hAnsi="仿宋_GB2312" w:eastAsia="仿宋_GB2312" w:cs="仿宋_GB2312"/>
          <w:kern w:val="0"/>
          <w:sz w:val="24"/>
          <w:szCs w:val="24"/>
        </w:rPr>
        <w:t xml:space="preserve">  </w:t>
      </w:r>
      <w:r>
        <w:rPr>
          <w:rFonts w:hint="eastAsia" w:ascii="仿宋_GB2312" w:hAnsi="仿宋_GB2312" w:eastAsia="仿宋_GB2312" w:cs="仿宋_GB2312"/>
          <w:kern w:val="0"/>
          <w:sz w:val="24"/>
          <w:szCs w:val="24"/>
        </w:rPr>
        <w:t>市民政局局长</w:t>
      </w:r>
    </w:p>
    <w:p>
      <w:pPr>
        <w:pStyle w:val="41"/>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outlineLvl w:val="9"/>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张国强</w:t>
      </w:r>
      <w:r>
        <w:rPr>
          <w:rFonts w:ascii="仿宋_GB2312" w:hAnsi="仿宋_GB2312" w:eastAsia="仿宋_GB2312" w:cs="仿宋_GB2312"/>
          <w:kern w:val="0"/>
          <w:sz w:val="24"/>
          <w:szCs w:val="24"/>
        </w:rPr>
        <w:t xml:space="preserve">  </w:t>
      </w:r>
      <w:r>
        <w:rPr>
          <w:rFonts w:hint="eastAsia" w:ascii="仿宋_GB2312" w:hAnsi="仿宋_GB2312" w:eastAsia="仿宋_GB2312" w:cs="仿宋_GB2312"/>
          <w:kern w:val="0"/>
          <w:sz w:val="24"/>
          <w:szCs w:val="24"/>
        </w:rPr>
        <w:t>市人社局局长</w:t>
      </w:r>
    </w:p>
    <w:p>
      <w:pPr>
        <w:pStyle w:val="41"/>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outlineLvl w:val="9"/>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王志胜</w:t>
      </w:r>
      <w:r>
        <w:rPr>
          <w:rFonts w:ascii="仿宋_GB2312" w:hAnsi="仿宋_GB2312" w:eastAsia="仿宋_GB2312" w:cs="仿宋_GB2312"/>
          <w:kern w:val="0"/>
          <w:sz w:val="24"/>
          <w:szCs w:val="24"/>
        </w:rPr>
        <w:t xml:space="preserve">  </w:t>
      </w:r>
      <w:r>
        <w:rPr>
          <w:rFonts w:hint="eastAsia" w:ascii="仿宋_GB2312" w:hAnsi="仿宋_GB2312" w:eastAsia="仿宋_GB2312" w:cs="仿宋_GB2312"/>
          <w:kern w:val="0"/>
          <w:sz w:val="24"/>
          <w:szCs w:val="24"/>
        </w:rPr>
        <w:t>市自然资源局局长</w:t>
      </w:r>
    </w:p>
    <w:p>
      <w:pPr>
        <w:pStyle w:val="41"/>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outlineLvl w:val="9"/>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贾贽骏</w:t>
      </w:r>
      <w:r>
        <w:rPr>
          <w:rFonts w:ascii="仿宋_GB2312" w:hAnsi="仿宋_GB2312" w:eastAsia="仿宋_GB2312" w:cs="仿宋_GB2312"/>
          <w:kern w:val="0"/>
          <w:sz w:val="24"/>
          <w:szCs w:val="24"/>
        </w:rPr>
        <w:t xml:space="preserve">  </w:t>
      </w:r>
      <w:r>
        <w:rPr>
          <w:rFonts w:hint="eastAsia" w:ascii="仿宋_GB2312" w:hAnsi="仿宋_GB2312" w:eastAsia="仿宋_GB2312" w:cs="仿宋_GB2312"/>
          <w:kern w:val="0"/>
          <w:sz w:val="24"/>
          <w:szCs w:val="24"/>
        </w:rPr>
        <w:t>市住房城乡建设局局长</w:t>
      </w:r>
    </w:p>
    <w:p>
      <w:pPr>
        <w:pStyle w:val="41"/>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outlineLvl w:val="9"/>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郑国梁</w:t>
      </w:r>
      <w:r>
        <w:rPr>
          <w:rFonts w:ascii="仿宋_GB2312" w:hAnsi="仿宋_GB2312" w:eastAsia="仿宋_GB2312" w:cs="仿宋_GB2312"/>
          <w:kern w:val="0"/>
          <w:sz w:val="24"/>
          <w:szCs w:val="24"/>
        </w:rPr>
        <w:t xml:space="preserve">  </w:t>
      </w:r>
      <w:r>
        <w:rPr>
          <w:rFonts w:hint="eastAsia" w:ascii="仿宋_GB2312" w:hAnsi="仿宋_GB2312" w:eastAsia="仿宋_GB2312" w:cs="仿宋_GB2312"/>
          <w:kern w:val="0"/>
          <w:sz w:val="24"/>
          <w:szCs w:val="24"/>
        </w:rPr>
        <w:t>市交通运输局局长</w:t>
      </w:r>
    </w:p>
    <w:p>
      <w:pPr>
        <w:pStyle w:val="41"/>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outlineLvl w:val="9"/>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张建中</w:t>
      </w:r>
      <w:r>
        <w:rPr>
          <w:rFonts w:ascii="仿宋_GB2312" w:hAnsi="仿宋_GB2312" w:eastAsia="仿宋_GB2312" w:cs="仿宋_GB2312"/>
          <w:kern w:val="0"/>
          <w:sz w:val="24"/>
          <w:szCs w:val="24"/>
        </w:rPr>
        <w:t xml:space="preserve">  </w:t>
      </w:r>
      <w:r>
        <w:rPr>
          <w:rFonts w:hint="eastAsia" w:ascii="仿宋_GB2312" w:hAnsi="仿宋_GB2312" w:eastAsia="仿宋_GB2312" w:cs="仿宋_GB2312"/>
          <w:kern w:val="0"/>
          <w:sz w:val="24"/>
          <w:szCs w:val="24"/>
        </w:rPr>
        <w:t>市水利局局长</w:t>
      </w:r>
    </w:p>
    <w:p>
      <w:pPr>
        <w:pStyle w:val="41"/>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outlineLvl w:val="9"/>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刘海生  市农业农村局局长</w:t>
      </w:r>
    </w:p>
    <w:p>
      <w:pPr>
        <w:pStyle w:val="41"/>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outlineLvl w:val="9"/>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郝治国  市林业局局长</w:t>
      </w:r>
    </w:p>
    <w:p>
      <w:pPr>
        <w:pStyle w:val="41"/>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outlineLvl w:val="9"/>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陈建瑞  市商务局局长</w:t>
      </w:r>
    </w:p>
    <w:p>
      <w:pPr>
        <w:pStyle w:val="41"/>
        <w:keepNext w:val="0"/>
        <w:keepLines w:val="0"/>
        <w:pageBreakBefore w:val="0"/>
        <w:widowControl w:val="0"/>
        <w:kinsoku/>
        <w:wordWrap/>
        <w:overflowPunct/>
        <w:topLinePunct w:val="0"/>
        <w:autoSpaceDE/>
        <w:autoSpaceDN/>
        <w:bidi w:val="0"/>
        <w:adjustRightInd/>
        <w:snapToGrid w:val="0"/>
        <w:spacing w:line="460" w:lineRule="exact"/>
        <w:ind w:leftChars="100"/>
        <w:textAlignment w:val="auto"/>
        <w:outlineLvl w:val="9"/>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刘海云</w:t>
      </w:r>
      <w:r>
        <w:rPr>
          <w:rFonts w:ascii="仿宋_GB2312" w:hAnsi="仿宋_GB2312" w:eastAsia="仿宋_GB2312" w:cs="仿宋_GB2312"/>
          <w:kern w:val="0"/>
          <w:sz w:val="24"/>
          <w:szCs w:val="24"/>
        </w:rPr>
        <w:t xml:space="preserve">  </w:t>
      </w:r>
      <w:r>
        <w:rPr>
          <w:rFonts w:hint="eastAsia" w:ascii="仿宋_GB2312" w:hAnsi="仿宋_GB2312" w:eastAsia="仿宋_GB2312" w:cs="仿宋_GB2312"/>
          <w:kern w:val="0"/>
          <w:sz w:val="24"/>
          <w:szCs w:val="24"/>
        </w:rPr>
        <w:t>市文化和旅游局局长</w:t>
      </w:r>
    </w:p>
    <w:p>
      <w:pPr>
        <w:pStyle w:val="41"/>
        <w:keepNext w:val="0"/>
        <w:keepLines w:val="0"/>
        <w:pageBreakBefore w:val="0"/>
        <w:widowControl w:val="0"/>
        <w:kinsoku/>
        <w:wordWrap/>
        <w:overflowPunct/>
        <w:topLinePunct w:val="0"/>
        <w:autoSpaceDE/>
        <w:autoSpaceDN/>
        <w:bidi w:val="0"/>
        <w:adjustRightInd/>
        <w:snapToGrid w:val="0"/>
        <w:spacing w:line="460" w:lineRule="exact"/>
        <w:ind w:leftChars="100"/>
        <w:textAlignment w:val="auto"/>
        <w:outlineLvl w:val="9"/>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赵一初</w:t>
      </w:r>
      <w:r>
        <w:rPr>
          <w:rFonts w:ascii="仿宋_GB2312" w:hAnsi="仿宋_GB2312" w:eastAsia="仿宋_GB2312" w:cs="仿宋_GB2312"/>
          <w:kern w:val="0"/>
          <w:sz w:val="24"/>
          <w:szCs w:val="24"/>
        </w:rPr>
        <w:t xml:space="preserve">  </w:t>
      </w:r>
      <w:r>
        <w:rPr>
          <w:rFonts w:hint="eastAsia" w:ascii="仿宋_GB2312" w:hAnsi="仿宋_GB2312" w:eastAsia="仿宋_GB2312" w:cs="仿宋_GB2312"/>
          <w:kern w:val="0"/>
          <w:sz w:val="24"/>
          <w:szCs w:val="24"/>
        </w:rPr>
        <w:t>市市场监管局局长</w:t>
      </w:r>
    </w:p>
    <w:p>
      <w:pPr>
        <w:pStyle w:val="41"/>
        <w:keepNext w:val="0"/>
        <w:keepLines w:val="0"/>
        <w:pageBreakBefore w:val="0"/>
        <w:widowControl w:val="0"/>
        <w:kinsoku/>
        <w:wordWrap/>
        <w:overflowPunct/>
        <w:topLinePunct w:val="0"/>
        <w:autoSpaceDE/>
        <w:autoSpaceDN/>
        <w:bidi w:val="0"/>
        <w:adjustRightInd/>
        <w:snapToGrid w:val="0"/>
        <w:spacing w:line="460" w:lineRule="exact"/>
        <w:ind w:leftChars="100"/>
        <w:textAlignment w:val="auto"/>
        <w:outlineLvl w:val="9"/>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杨峰云</w:t>
      </w:r>
      <w:r>
        <w:rPr>
          <w:rFonts w:ascii="仿宋_GB2312" w:hAnsi="仿宋_GB2312" w:eastAsia="仿宋_GB2312" w:cs="仿宋_GB2312"/>
          <w:kern w:val="0"/>
          <w:sz w:val="24"/>
          <w:szCs w:val="24"/>
        </w:rPr>
        <w:t xml:space="preserve">  </w:t>
      </w:r>
      <w:r>
        <w:rPr>
          <w:rFonts w:hint="eastAsia" w:ascii="仿宋_GB2312" w:hAnsi="仿宋_GB2312" w:eastAsia="仿宋_GB2312" w:cs="仿宋_GB2312"/>
          <w:kern w:val="0"/>
          <w:sz w:val="24"/>
          <w:szCs w:val="24"/>
        </w:rPr>
        <w:t>市统计局局长</w:t>
      </w:r>
    </w:p>
    <w:p>
      <w:pPr>
        <w:pStyle w:val="41"/>
        <w:keepNext w:val="0"/>
        <w:keepLines w:val="0"/>
        <w:pageBreakBefore w:val="0"/>
        <w:widowControl w:val="0"/>
        <w:kinsoku/>
        <w:wordWrap/>
        <w:overflowPunct/>
        <w:topLinePunct w:val="0"/>
        <w:autoSpaceDE/>
        <w:autoSpaceDN/>
        <w:bidi w:val="0"/>
        <w:adjustRightInd/>
        <w:snapToGrid w:val="0"/>
        <w:spacing w:line="460" w:lineRule="exact"/>
        <w:ind w:leftChars="100"/>
        <w:textAlignment w:val="auto"/>
        <w:outlineLvl w:val="9"/>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齐志平</w:t>
      </w:r>
      <w:r>
        <w:rPr>
          <w:rFonts w:ascii="仿宋_GB2312" w:hAnsi="仿宋_GB2312" w:eastAsia="仿宋_GB2312" w:cs="仿宋_GB2312"/>
          <w:kern w:val="0"/>
          <w:sz w:val="24"/>
          <w:szCs w:val="24"/>
        </w:rPr>
        <w:t xml:space="preserve">  </w:t>
      </w:r>
      <w:r>
        <w:rPr>
          <w:rFonts w:hint="eastAsia" w:ascii="仿宋_GB2312" w:hAnsi="仿宋_GB2312" w:eastAsia="仿宋_GB2312" w:cs="仿宋_GB2312"/>
          <w:kern w:val="0"/>
          <w:sz w:val="24"/>
          <w:szCs w:val="24"/>
        </w:rPr>
        <w:t>市税务局局长</w:t>
      </w:r>
    </w:p>
    <w:p>
      <w:pPr>
        <w:pStyle w:val="41"/>
        <w:keepNext w:val="0"/>
        <w:keepLines w:val="0"/>
        <w:pageBreakBefore w:val="0"/>
        <w:widowControl w:val="0"/>
        <w:kinsoku/>
        <w:wordWrap/>
        <w:overflowPunct/>
        <w:topLinePunct w:val="0"/>
        <w:autoSpaceDE/>
        <w:autoSpaceDN/>
        <w:bidi w:val="0"/>
        <w:adjustRightInd/>
        <w:snapToGrid w:val="0"/>
        <w:spacing w:line="460" w:lineRule="exact"/>
        <w:ind w:leftChars="100"/>
        <w:textAlignment w:val="auto"/>
        <w:outlineLvl w:val="9"/>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解建斌</w:t>
      </w:r>
      <w:r>
        <w:rPr>
          <w:rFonts w:ascii="仿宋_GB2312" w:hAnsi="仿宋_GB2312" w:eastAsia="仿宋_GB2312" w:cs="仿宋_GB2312"/>
          <w:kern w:val="0"/>
          <w:sz w:val="24"/>
          <w:szCs w:val="24"/>
        </w:rPr>
        <w:t xml:space="preserve">  </w:t>
      </w:r>
      <w:r>
        <w:rPr>
          <w:rFonts w:hint="eastAsia" w:ascii="仿宋_GB2312" w:hAnsi="仿宋_GB2312" w:eastAsia="仿宋_GB2312" w:cs="仿宋_GB2312"/>
          <w:kern w:val="0"/>
          <w:sz w:val="24"/>
          <w:szCs w:val="24"/>
        </w:rPr>
        <w:t>市审计局负责人</w:t>
      </w:r>
    </w:p>
    <w:p>
      <w:pPr>
        <w:pStyle w:val="41"/>
        <w:keepNext w:val="0"/>
        <w:keepLines w:val="0"/>
        <w:pageBreakBefore w:val="0"/>
        <w:widowControl w:val="0"/>
        <w:kinsoku/>
        <w:wordWrap/>
        <w:overflowPunct/>
        <w:topLinePunct w:val="0"/>
        <w:autoSpaceDE/>
        <w:autoSpaceDN/>
        <w:bidi w:val="0"/>
        <w:adjustRightInd/>
        <w:snapToGrid w:val="0"/>
        <w:spacing w:line="460" w:lineRule="exact"/>
        <w:ind w:leftChars="100"/>
        <w:textAlignment w:val="auto"/>
        <w:outlineLvl w:val="9"/>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王</w:t>
      </w:r>
      <w:r>
        <w:rPr>
          <w:rFonts w:ascii="仿宋_GB2312" w:hAnsi="仿宋_GB2312" w:eastAsia="仿宋_GB2312" w:cs="仿宋_GB2312"/>
          <w:kern w:val="0"/>
          <w:sz w:val="24"/>
          <w:szCs w:val="24"/>
        </w:rPr>
        <w:t xml:space="preserve">  </w:t>
      </w:r>
      <w:r>
        <w:rPr>
          <w:rFonts w:hint="eastAsia" w:ascii="仿宋_GB2312" w:hAnsi="仿宋_GB2312" w:eastAsia="仿宋_GB2312" w:cs="仿宋_GB2312"/>
          <w:kern w:val="0"/>
          <w:sz w:val="24"/>
          <w:szCs w:val="24"/>
        </w:rPr>
        <w:t>韵</w:t>
      </w:r>
      <w:r>
        <w:rPr>
          <w:rFonts w:ascii="仿宋_GB2312" w:hAnsi="仿宋_GB2312" w:eastAsia="仿宋_GB2312" w:cs="仿宋_GB2312"/>
          <w:kern w:val="0"/>
          <w:sz w:val="24"/>
          <w:szCs w:val="24"/>
        </w:rPr>
        <w:t xml:space="preserve">  </w:t>
      </w:r>
      <w:r>
        <w:rPr>
          <w:rFonts w:hint="eastAsia" w:ascii="仿宋_GB2312" w:hAnsi="仿宋_GB2312" w:eastAsia="仿宋_GB2312" w:cs="仿宋_GB2312"/>
          <w:kern w:val="0"/>
          <w:sz w:val="24"/>
          <w:szCs w:val="24"/>
        </w:rPr>
        <w:t>市科协主席</w:t>
      </w:r>
    </w:p>
    <w:p>
      <w:pPr>
        <w:pStyle w:val="41"/>
        <w:keepNext w:val="0"/>
        <w:keepLines w:val="0"/>
        <w:pageBreakBefore w:val="0"/>
        <w:widowControl w:val="0"/>
        <w:kinsoku/>
        <w:wordWrap/>
        <w:overflowPunct/>
        <w:topLinePunct w:val="0"/>
        <w:autoSpaceDE/>
        <w:autoSpaceDN/>
        <w:bidi w:val="0"/>
        <w:adjustRightInd/>
        <w:snapToGrid w:val="0"/>
        <w:spacing w:line="460" w:lineRule="exact"/>
        <w:ind w:leftChars="100"/>
        <w:textAlignment w:val="auto"/>
        <w:outlineLvl w:val="9"/>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樊</w:t>
      </w:r>
      <w:r>
        <w:rPr>
          <w:rFonts w:ascii="仿宋_GB2312" w:hAnsi="仿宋_GB2312" w:eastAsia="仿宋_GB2312" w:cs="仿宋_GB2312"/>
          <w:kern w:val="0"/>
          <w:sz w:val="24"/>
          <w:szCs w:val="24"/>
        </w:rPr>
        <w:t xml:space="preserve">  </w:t>
      </w:r>
      <w:r>
        <w:rPr>
          <w:rFonts w:hint="eastAsia" w:ascii="仿宋_GB2312" w:hAnsi="仿宋_GB2312" w:eastAsia="仿宋_GB2312" w:cs="仿宋_GB2312"/>
          <w:kern w:val="0"/>
          <w:sz w:val="24"/>
          <w:szCs w:val="24"/>
        </w:rPr>
        <w:t>强</w:t>
      </w:r>
      <w:r>
        <w:rPr>
          <w:rFonts w:ascii="仿宋_GB2312" w:hAnsi="仿宋_GB2312" w:eastAsia="仿宋_GB2312" w:cs="仿宋_GB2312"/>
          <w:kern w:val="0"/>
          <w:sz w:val="24"/>
          <w:szCs w:val="24"/>
        </w:rPr>
        <w:t xml:space="preserve">  </w:t>
      </w:r>
      <w:r>
        <w:rPr>
          <w:rFonts w:hint="eastAsia" w:ascii="仿宋_GB2312" w:hAnsi="仿宋_GB2312" w:eastAsia="仿宋_GB2312" w:cs="仿宋_GB2312"/>
          <w:kern w:val="0"/>
          <w:sz w:val="24"/>
          <w:szCs w:val="24"/>
        </w:rPr>
        <w:t>团市委书记</w:t>
      </w:r>
    </w:p>
    <w:p>
      <w:pPr>
        <w:pStyle w:val="41"/>
        <w:keepNext w:val="0"/>
        <w:keepLines w:val="0"/>
        <w:pageBreakBefore w:val="0"/>
        <w:widowControl w:val="0"/>
        <w:kinsoku/>
        <w:wordWrap/>
        <w:overflowPunct/>
        <w:topLinePunct w:val="0"/>
        <w:autoSpaceDE/>
        <w:autoSpaceDN/>
        <w:bidi w:val="0"/>
        <w:adjustRightInd/>
        <w:snapToGrid w:val="0"/>
        <w:spacing w:line="460" w:lineRule="exact"/>
        <w:ind w:leftChars="100"/>
        <w:textAlignment w:val="auto"/>
        <w:outlineLvl w:val="9"/>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温志亭</w:t>
      </w:r>
      <w:r>
        <w:rPr>
          <w:rFonts w:ascii="仿宋_GB2312" w:hAnsi="仿宋_GB2312" w:eastAsia="仿宋_GB2312" w:cs="仿宋_GB2312"/>
          <w:kern w:val="0"/>
          <w:sz w:val="24"/>
          <w:szCs w:val="24"/>
        </w:rPr>
        <w:t xml:space="preserve">  </w:t>
      </w:r>
      <w:r>
        <w:rPr>
          <w:rFonts w:hint="eastAsia" w:ascii="仿宋_GB2312" w:hAnsi="仿宋_GB2312" w:eastAsia="仿宋_GB2312" w:cs="仿宋_GB2312"/>
          <w:kern w:val="0"/>
          <w:sz w:val="24"/>
          <w:szCs w:val="24"/>
        </w:rPr>
        <w:t>市供销联社主任</w:t>
      </w:r>
    </w:p>
    <w:p>
      <w:pPr>
        <w:pStyle w:val="41"/>
        <w:keepNext w:val="0"/>
        <w:keepLines w:val="0"/>
        <w:pageBreakBefore w:val="0"/>
        <w:widowControl w:val="0"/>
        <w:kinsoku/>
        <w:wordWrap/>
        <w:overflowPunct/>
        <w:topLinePunct w:val="0"/>
        <w:autoSpaceDE/>
        <w:autoSpaceDN/>
        <w:bidi w:val="0"/>
        <w:adjustRightInd/>
        <w:snapToGrid w:val="0"/>
        <w:spacing w:line="460" w:lineRule="exact"/>
        <w:ind w:leftChars="100"/>
        <w:textAlignment w:val="auto"/>
        <w:outlineLvl w:val="9"/>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张</w:t>
      </w:r>
      <w:r>
        <w:rPr>
          <w:rFonts w:ascii="仿宋_GB2312" w:hAnsi="仿宋_GB2312" w:eastAsia="仿宋_GB2312" w:cs="仿宋_GB2312"/>
          <w:kern w:val="0"/>
          <w:sz w:val="24"/>
          <w:szCs w:val="24"/>
        </w:rPr>
        <w:t xml:space="preserve">  </w:t>
      </w:r>
      <w:r>
        <w:rPr>
          <w:rFonts w:hint="eastAsia" w:ascii="仿宋_GB2312" w:hAnsi="仿宋_GB2312" w:eastAsia="仿宋_GB2312" w:cs="仿宋_GB2312"/>
          <w:kern w:val="0"/>
          <w:sz w:val="24"/>
          <w:szCs w:val="24"/>
        </w:rPr>
        <w:t>丹</w:t>
      </w:r>
      <w:r>
        <w:rPr>
          <w:rFonts w:ascii="仿宋_GB2312" w:hAnsi="仿宋_GB2312" w:eastAsia="仿宋_GB2312" w:cs="仿宋_GB2312"/>
          <w:kern w:val="0"/>
          <w:sz w:val="24"/>
          <w:szCs w:val="24"/>
        </w:rPr>
        <w:t xml:space="preserve">  </w:t>
      </w:r>
      <w:r>
        <w:rPr>
          <w:rFonts w:hint="eastAsia" w:ascii="仿宋_GB2312" w:hAnsi="仿宋_GB2312" w:eastAsia="仿宋_GB2312" w:cs="仿宋_GB2312"/>
          <w:kern w:val="0"/>
          <w:sz w:val="24"/>
          <w:szCs w:val="24"/>
        </w:rPr>
        <w:t>市招商服务中心主任</w:t>
      </w:r>
    </w:p>
    <w:p>
      <w:pPr>
        <w:pStyle w:val="41"/>
        <w:keepNext w:val="0"/>
        <w:keepLines w:val="0"/>
        <w:pageBreakBefore w:val="0"/>
        <w:widowControl w:val="0"/>
        <w:kinsoku/>
        <w:wordWrap/>
        <w:overflowPunct/>
        <w:topLinePunct w:val="0"/>
        <w:autoSpaceDE/>
        <w:autoSpaceDN/>
        <w:bidi w:val="0"/>
        <w:adjustRightInd/>
        <w:snapToGrid w:val="0"/>
        <w:spacing w:line="460" w:lineRule="exact"/>
        <w:ind w:leftChars="100"/>
        <w:textAlignment w:val="auto"/>
        <w:outlineLvl w:val="9"/>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葛茂华</w:t>
      </w:r>
      <w:r>
        <w:rPr>
          <w:rFonts w:ascii="仿宋_GB2312" w:hAnsi="仿宋_GB2312" w:eastAsia="仿宋_GB2312" w:cs="仿宋_GB2312"/>
          <w:kern w:val="0"/>
          <w:sz w:val="24"/>
          <w:szCs w:val="24"/>
        </w:rPr>
        <w:t xml:space="preserve">  </w:t>
      </w:r>
      <w:r>
        <w:rPr>
          <w:rFonts w:hint="eastAsia" w:ascii="仿宋_GB2312" w:hAnsi="仿宋_GB2312" w:eastAsia="仿宋_GB2312" w:cs="仿宋_GB2312"/>
          <w:kern w:val="0"/>
          <w:sz w:val="24"/>
          <w:szCs w:val="24"/>
        </w:rPr>
        <w:t>市乡村振兴发展中心主任</w:t>
      </w:r>
    </w:p>
    <w:p>
      <w:pPr>
        <w:pStyle w:val="41"/>
        <w:keepNext w:val="0"/>
        <w:keepLines w:val="0"/>
        <w:pageBreakBefore w:val="0"/>
        <w:widowControl w:val="0"/>
        <w:kinsoku/>
        <w:wordWrap/>
        <w:overflowPunct/>
        <w:topLinePunct w:val="0"/>
        <w:autoSpaceDE/>
        <w:autoSpaceDN/>
        <w:bidi w:val="0"/>
        <w:adjustRightInd/>
        <w:snapToGrid w:val="0"/>
        <w:spacing w:line="460" w:lineRule="exact"/>
        <w:ind w:leftChars="100"/>
        <w:textAlignment w:val="auto"/>
        <w:outlineLvl w:val="9"/>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郭帅军</w:t>
      </w:r>
      <w:r>
        <w:rPr>
          <w:rFonts w:ascii="仿宋_GB2312" w:hAnsi="仿宋_GB2312" w:eastAsia="仿宋_GB2312" w:cs="仿宋_GB2312"/>
          <w:kern w:val="0"/>
          <w:sz w:val="24"/>
          <w:szCs w:val="24"/>
        </w:rPr>
        <w:t xml:space="preserve">  </w:t>
      </w:r>
      <w:r>
        <w:rPr>
          <w:rFonts w:hint="eastAsia" w:ascii="仿宋_GB2312" w:hAnsi="仿宋_GB2312" w:eastAsia="仿宋_GB2312" w:cs="仿宋_GB2312"/>
          <w:kern w:val="0"/>
          <w:sz w:val="24"/>
          <w:szCs w:val="24"/>
        </w:rPr>
        <w:t>市政府采购中心主任</w:t>
      </w:r>
    </w:p>
    <w:p>
      <w:pPr>
        <w:pStyle w:val="41"/>
        <w:keepNext w:val="0"/>
        <w:keepLines w:val="0"/>
        <w:pageBreakBefore w:val="0"/>
        <w:widowControl w:val="0"/>
        <w:kinsoku/>
        <w:wordWrap/>
        <w:overflowPunct/>
        <w:topLinePunct w:val="0"/>
        <w:autoSpaceDE/>
        <w:autoSpaceDN/>
        <w:bidi w:val="0"/>
        <w:adjustRightInd/>
        <w:snapToGrid w:val="0"/>
        <w:spacing w:line="460" w:lineRule="exact"/>
        <w:ind w:leftChars="100"/>
        <w:textAlignment w:val="auto"/>
        <w:outlineLvl w:val="9"/>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张晋荣</w:t>
      </w:r>
      <w:r>
        <w:rPr>
          <w:rFonts w:ascii="仿宋_GB2312" w:hAnsi="仿宋_GB2312" w:eastAsia="仿宋_GB2312" w:cs="仿宋_GB2312"/>
          <w:kern w:val="0"/>
          <w:sz w:val="24"/>
          <w:szCs w:val="24"/>
        </w:rPr>
        <w:t xml:space="preserve">  </w:t>
      </w:r>
      <w:r>
        <w:rPr>
          <w:rFonts w:hint="eastAsia" w:ascii="仿宋_GB2312" w:hAnsi="仿宋_GB2312" w:eastAsia="仿宋_GB2312" w:cs="仿宋_GB2312"/>
          <w:kern w:val="0"/>
          <w:sz w:val="24"/>
          <w:szCs w:val="24"/>
        </w:rPr>
        <w:t>市融媒体中心主任</w:t>
      </w:r>
    </w:p>
    <w:p>
      <w:pPr>
        <w:pStyle w:val="41"/>
        <w:keepNext w:val="0"/>
        <w:keepLines w:val="0"/>
        <w:pageBreakBefore w:val="0"/>
        <w:widowControl w:val="0"/>
        <w:kinsoku/>
        <w:wordWrap/>
        <w:overflowPunct/>
        <w:topLinePunct w:val="0"/>
        <w:autoSpaceDE/>
        <w:autoSpaceDN/>
        <w:bidi w:val="0"/>
        <w:adjustRightInd/>
        <w:snapToGrid w:val="0"/>
        <w:spacing w:line="460" w:lineRule="exact"/>
        <w:ind w:leftChars="100"/>
        <w:textAlignment w:val="auto"/>
        <w:outlineLvl w:val="9"/>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李立刚</w:t>
      </w:r>
      <w:r>
        <w:rPr>
          <w:rFonts w:ascii="仿宋_GB2312" w:hAnsi="仿宋_GB2312" w:eastAsia="仿宋_GB2312" w:cs="仿宋_GB2312"/>
          <w:kern w:val="0"/>
          <w:sz w:val="24"/>
          <w:szCs w:val="24"/>
        </w:rPr>
        <w:t xml:space="preserve">  </w:t>
      </w:r>
      <w:r>
        <w:rPr>
          <w:rFonts w:hint="eastAsia" w:ascii="仿宋_GB2312" w:hAnsi="仿宋_GB2312" w:eastAsia="仿宋_GB2312" w:cs="仿宋_GB2312"/>
          <w:kern w:val="0"/>
          <w:sz w:val="24"/>
          <w:szCs w:val="24"/>
        </w:rPr>
        <w:t>市项目推进中心主任</w:t>
      </w:r>
    </w:p>
    <w:p>
      <w:pPr>
        <w:pStyle w:val="41"/>
        <w:keepNext w:val="0"/>
        <w:keepLines w:val="0"/>
        <w:pageBreakBefore w:val="0"/>
        <w:widowControl w:val="0"/>
        <w:kinsoku/>
        <w:wordWrap/>
        <w:overflowPunct/>
        <w:topLinePunct w:val="0"/>
        <w:autoSpaceDE/>
        <w:autoSpaceDN/>
        <w:bidi w:val="0"/>
        <w:adjustRightInd/>
        <w:snapToGrid w:val="0"/>
        <w:spacing w:line="460" w:lineRule="exact"/>
        <w:ind w:leftChars="100"/>
        <w:textAlignment w:val="auto"/>
        <w:outlineLvl w:val="9"/>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郑</w:t>
      </w:r>
      <w:r>
        <w:rPr>
          <w:rFonts w:ascii="仿宋_GB2312" w:hAnsi="仿宋_GB2312" w:eastAsia="仿宋_GB2312" w:cs="仿宋_GB2312"/>
          <w:kern w:val="0"/>
          <w:sz w:val="24"/>
          <w:szCs w:val="24"/>
        </w:rPr>
        <w:t xml:space="preserve">  </w:t>
      </w:r>
      <w:r>
        <w:rPr>
          <w:rFonts w:hint="eastAsia" w:ascii="仿宋_GB2312" w:hAnsi="仿宋_GB2312" w:eastAsia="仿宋_GB2312" w:cs="仿宋_GB2312"/>
          <w:kern w:val="0"/>
          <w:sz w:val="24"/>
          <w:szCs w:val="24"/>
        </w:rPr>
        <w:t>涛</w:t>
      </w:r>
      <w:r>
        <w:rPr>
          <w:rFonts w:ascii="仿宋_GB2312" w:hAnsi="仿宋_GB2312" w:eastAsia="仿宋_GB2312" w:cs="仿宋_GB2312"/>
          <w:kern w:val="0"/>
          <w:sz w:val="24"/>
          <w:szCs w:val="24"/>
        </w:rPr>
        <w:t xml:space="preserve">  </w:t>
      </w:r>
      <w:r>
        <w:rPr>
          <w:rFonts w:hint="eastAsia" w:ascii="仿宋_GB2312" w:hAnsi="仿宋_GB2312" w:eastAsia="仿宋_GB2312" w:cs="仿宋_GB2312"/>
          <w:kern w:val="0"/>
          <w:sz w:val="24"/>
          <w:szCs w:val="24"/>
        </w:rPr>
        <w:t>市政府金融办负责人</w:t>
      </w:r>
    </w:p>
    <w:p>
      <w:pPr>
        <w:pStyle w:val="41"/>
        <w:keepNext w:val="0"/>
        <w:keepLines w:val="0"/>
        <w:pageBreakBefore w:val="0"/>
        <w:widowControl w:val="0"/>
        <w:kinsoku/>
        <w:wordWrap/>
        <w:overflowPunct/>
        <w:topLinePunct w:val="0"/>
        <w:autoSpaceDE/>
        <w:autoSpaceDN/>
        <w:bidi w:val="0"/>
        <w:adjustRightInd/>
        <w:snapToGrid w:val="0"/>
        <w:spacing w:line="460" w:lineRule="exact"/>
        <w:ind w:leftChars="100"/>
        <w:textAlignment w:val="auto"/>
        <w:outlineLvl w:val="9"/>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白秀林</w:t>
      </w:r>
      <w:r>
        <w:rPr>
          <w:rFonts w:ascii="仿宋_GB2312" w:hAnsi="仿宋_GB2312" w:eastAsia="仿宋_GB2312" w:cs="仿宋_GB2312"/>
          <w:kern w:val="0"/>
          <w:sz w:val="24"/>
          <w:szCs w:val="24"/>
        </w:rPr>
        <w:t xml:space="preserve">  </w:t>
      </w:r>
      <w:r>
        <w:rPr>
          <w:rFonts w:hint="eastAsia" w:ascii="仿宋_GB2312" w:hAnsi="仿宋_GB2312" w:eastAsia="仿宋_GB2312" w:cs="仿宋_GB2312"/>
          <w:kern w:val="0"/>
          <w:sz w:val="24"/>
          <w:szCs w:val="24"/>
        </w:rPr>
        <w:t>人民银行原平支行行长</w:t>
      </w:r>
    </w:p>
    <w:p>
      <w:pPr>
        <w:pStyle w:val="41"/>
        <w:keepNext w:val="0"/>
        <w:keepLines w:val="0"/>
        <w:pageBreakBefore w:val="0"/>
        <w:widowControl w:val="0"/>
        <w:kinsoku/>
        <w:wordWrap/>
        <w:overflowPunct/>
        <w:topLinePunct w:val="0"/>
        <w:autoSpaceDE/>
        <w:autoSpaceDN/>
        <w:bidi w:val="0"/>
        <w:adjustRightInd/>
        <w:snapToGrid w:val="0"/>
        <w:spacing w:line="460" w:lineRule="exact"/>
        <w:ind w:leftChars="100"/>
        <w:textAlignment w:val="auto"/>
        <w:outlineLvl w:val="9"/>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李玉文</w:t>
      </w:r>
      <w:r>
        <w:rPr>
          <w:rFonts w:ascii="仿宋_GB2312" w:hAnsi="仿宋_GB2312" w:eastAsia="仿宋_GB2312" w:cs="仿宋_GB2312"/>
          <w:kern w:val="0"/>
          <w:sz w:val="24"/>
          <w:szCs w:val="24"/>
        </w:rPr>
        <w:t xml:space="preserve">  </w:t>
      </w:r>
      <w:r>
        <w:rPr>
          <w:rFonts w:hint="eastAsia" w:ascii="仿宋_GB2312" w:hAnsi="仿宋_GB2312" w:eastAsia="仿宋_GB2312" w:cs="仿宋_GB2312"/>
          <w:kern w:val="0"/>
          <w:sz w:val="24"/>
          <w:szCs w:val="24"/>
        </w:rPr>
        <w:t>国网原平市供电公司经理</w:t>
      </w:r>
    </w:p>
    <w:p>
      <w:pPr>
        <w:pStyle w:val="41"/>
        <w:keepNext w:val="0"/>
        <w:keepLines w:val="0"/>
        <w:pageBreakBefore w:val="0"/>
        <w:widowControl w:val="0"/>
        <w:kinsoku/>
        <w:wordWrap/>
        <w:overflowPunct/>
        <w:topLinePunct w:val="0"/>
        <w:autoSpaceDE/>
        <w:autoSpaceDN/>
        <w:bidi w:val="0"/>
        <w:adjustRightInd/>
        <w:snapToGrid w:val="0"/>
        <w:spacing w:line="460" w:lineRule="exact"/>
        <w:ind w:leftChars="100"/>
        <w:textAlignment w:val="auto"/>
        <w:outlineLvl w:val="9"/>
        <w:rPr>
          <w:rFonts w:ascii="仿宋_GB2312" w:hAnsi="仿宋_GB2312" w:eastAsia="仿宋_GB2312" w:cs="仿宋_GB2312"/>
          <w:spacing w:val="-20"/>
          <w:kern w:val="0"/>
          <w:sz w:val="24"/>
          <w:szCs w:val="24"/>
        </w:rPr>
      </w:pPr>
      <w:r>
        <w:rPr>
          <w:rFonts w:hint="eastAsia" w:ascii="仿宋_GB2312" w:hAnsi="仿宋_GB2312" w:eastAsia="仿宋_GB2312" w:cs="仿宋_GB2312"/>
          <w:kern w:val="0"/>
          <w:sz w:val="24"/>
          <w:szCs w:val="24"/>
        </w:rPr>
        <w:t>李永慧</w:t>
      </w:r>
      <w:r>
        <w:rPr>
          <w:rFonts w:ascii="仿宋_GB2312" w:hAnsi="仿宋_GB2312" w:eastAsia="仿宋_GB2312" w:cs="仿宋_GB2312"/>
          <w:kern w:val="0"/>
          <w:sz w:val="24"/>
          <w:szCs w:val="24"/>
        </w:rPr>
        <w:t xml:space="preserve"> </w:t>
      </w:r>
      <w:r>
        <w:rPr>
          <w:rFonts w:ascii="仿宋_GB2312" w:hAnsi="仿宋_GB2312" w:eastAsia="仿宋_GB2312" w:cs="仿宋_GB2312"/>
          <w:spacing w:val="-20"/>
          <w:kern w:val="0"/>
          <w:sz w:val="24"/>
          <w:szCs w:val="24"/>
        </w:rPr>
        <w:t xml:space="preserve"> </w:t>
      </w:r>
      <w:r>
        <w:rPr>
          <w:rFonts w:hint="eastAsia" w:ascii="仿宋_GB2312" w:hAnsi="仿宋_GB2312" w:eastAsia="仿宋_GB2312" w:cs="仿宋_GB2312"/>
          <w:spacing w:val="-20"/>
          <w:kern w:val="0"/>
          <w:sz w:val="24"/>
          <w:szCs w:val="24"/>
        </w:rPr>
        <w:t>邮政集团公司原平市分公司经理</w:t>
      </w:r>
    </w:p>
    <w:p>
      <w:pPr>
        <w:pStyle w:val="41"/>
        <w:keepNext w:val="0"/>
        <w:keepLines w:val="0"/>
        <w:pageBreakBefore w:val="0"/>
        <w:widowControl w:val="0"/>
        <w:kinsoku/>
        <w:wordWrap/>
        <w:overflowPunct/>
        <w:topLinePunct w:val="0"/>
        <w:autoSpaceDE/>
        <w:autoSpaceDN/>
        <w:bidi w:val="0"/>
        <w:adjustRightInd/>
        <w:snapToGrid w:val="0"/>
        <w:spacing w:line="460" w:lineRule="exact"/>
        <w:ind w:leftChars="100"/>
        <w:textAlignment w:val="auto"/>
        <w:outlineLvl w:val="9"/>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刘  强</w:t>
      </w:r>
      <w:r>
        <w:rPr>
          <w:rFonts w:ascii="仿宋_GB2312" w:hAnsi="仿宋_GB2312" w:eastAsia="仿宋_GB2312" w:cs="仿宋_GB2312"/>
          <w:kern w:val="0"/>
          <w:sz w:val="24"/>
          <w:szCs w:val="24"/>
        </w:rPr>
        <w:t xml:space="preserve">  </w:t>
      </w:r>
      <w:r>
        <w:rPr>
          <w:rFonts w:hint="eastAsia" w:ascii="仿宋_GB2312" w:hAnsi="仿宋_GB2312" w:eastAsia="仿宋_GB2312" w:cs="仿宋_GB2312"/>
          <w:kern w:val="0"/>
          <w:sz w:val="24"/>
          <w:szCs w:val="24"/>
        </w:rPr>
        <w:t>移动原平分公司经理</w:t>
      </w:r>
    </w:p>
    <w:p>
      <w:pPr>
        <w:pStyle w:val="41"/>
        <w:keepNext w:val="0"/>
        <w:keepLines w:val="0"/>
        <w:pageBreakBefore w:val="0"/>
        <w:widowControl w:val="0"/>
        <w:kinsoku/>
        <w:wordWrap/>
        <w:overflowPunct/>
        <w:topLinePunct w:val="0"/>
        <w:autoSpaceDE/>
        <w:autoSpaceDN/>
        <w:bidi w:val="0"/>
        <w:adjustRightInd/>
        <w:snapToGrid w:val="0"/>
        <w:spacing w:line="460" w:lineRule="exact"/>
        <w:ind w:leftChars="100"/>
        <w:textAlignment w:val="auto"/>
        <w:outlineLvl w:val="9"/>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贾彦斌</w:t>
      </w:r>
      <w:r>
        <w:rPr>
          <w:rFonts w:ascii="仿宋_GB2312" w:hAnsi="仿宋_GB2312" w:eastAsia="仿宋_GB2312" w:cs="仿宋_GB2312"/>
          <w:kern w:val="0"/>
          <w:sz w:val="24"/>
          <w:szCs w:val="24"/>
        </w:rPr>
        <w:t xml:space="preserve">  </w:t>
      </w:r>
      <w:r>
        <w:rPr>
          <w:rFonts w:hint="eastAsia" w:ascii="仿宋_GB2312" w:hAnsi="仿宋_GB2312" w:eastAsia="仿宋_GB2312" w:cs="仿宋_GB2312"/>
          <w:kern w:val="0"/>
          <w:sz w:val="24"/>
          <w:szCs w:val="24"/>
        </w:rPr>
        <w:t>联通原平分公司经理</w:t>
      </w:r>
    </w:p>
    <w:p>
      <w:pPr>
        <w:pStyle w:val="41"/>
        <w:keepNext w:val="0"/>
        <w:keepLines w:val="0"/>
        <w:pageBreakBefore w:val="0"/>
        <w:widowControl w:val="0"/>
        <w:kinsoku/>
        <w:wordWrap/>
        <w:overflowPunct/>
        <w:topLinePunct w:val="0"/>
        <w:autoSpaceDE/>
        <w:autoSpaceDN/>
        <w:bidi w:val="0"/>
        <w:adjustRightInd/>
        <w:snapToGrid w:val="0"/>
        <w:spacing w:line="460" w:lineRule="exact"/>
        <w:ind w:leftChars="100"/>
        <w:textAlignment w:val="auto"/>
        <w:outlineLvl w:val="9"/>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杨悦梓</w:t>
      </w:r>
      <w:r>
        <w:rPr>
          <w:rFonts w:ascii="仿宋_GB2312" w:hAnsi="仿宋_GB2312" w:eastAsia="仿宋_GB2312" w:cs="仿宋_GB2312"/>
          <w:kern w:val="0"/>
          <w:sz w:val="24"/>
          <w:szCs w:val="24"/>
        </w:rPr>
        <w:t xml:space="preserve">  </w:t>
      </w:r>
      <w:r>
        <w:rPr>
          <w:rFonts w:hint="eastAsia" w:ascii="仿宋_GB2312" w:hAnsi="仿宋_GB2312" w:eastAsia="仿宋_GB2312" w:cs="仿宋_GB2312"/>
          <w:kern w:val="0"/>
          <w:sz w:val="24"/>
          <w:szCs w:val="24"/>
        </w:rPr>
        <w:t>电信原平分公司经理</w:t>
      </w:r>
    </w:p>
    <w:p>
      <w:pPr>
        <w:pStyle w:val="41"/>
        <w:keepNext w:val="0"/>
        <w:keepLines w:val="0"/>
        <w:pageBreakBefore w:val="0"/>
        <w:widowControl w:val="0"/>
        <w:kinsoku/>
        <w:wordWrap/>
        <w:overflowPunct/>
        <w:topLinePunct w:val="0"/>
        <w:autoSpaceDE/>
        <w:autoSpaceDN/>
        <w:bidi w:val="0"/>
        <w:adjustRightInd/>
        <w:snapToGrid w:val="0"/>
        <w:spacing w:line="460" w:lineRule="exact"/>
        <w:ind w:leftChars="100"/>
        <w:textAlignment w:val="auto"/>
        <w:outlineLvl w:val="9"/>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张逢虎</w:t>
      </w:r>
      <w:r>
        <w:rPr>
          <w:rFonts w:ascii="仿宋_GB2312" w:hAnsi="仿宋_GB2312" w:eastAsia="仿宋_GB2312" w:cs="仿宋_GB2312"/>
          <w:kern w:val="0"/>
          <w:sz w:val="24"/>
          <w:szCs w:val="24"/>
        </w:rPr>
        <w:t xml:space="preserve">  </w:t>
      </w:r>
      <w:r>
        <w:rPr>
          <w:rFonts w:hint="eastAsia" w:ascii="仿宋_GB2312" w:hAnsi="仿宋_GB2312" w:eastAsia="仿宋_GB2312" w:cs="仿宋_GB2312"/>
          <w:kern w:val="0"/>
          <w:sz w:val="24"/>
          <w:szCs w:val="24"/>
        </w:rPr>
        <w:t>原平农商银行行长</w:t>
      </w:r>
    </w:p>
    <w:p>
      <w:pPr>
        <w:pStyle w:val="41"/>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outlineLvl w:val="9"/>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领导组下设办公室，办公室设在市商务局，办公室主任由陈建瑞同志担任。</w:t>
      </w:r>
    </w:p>
    <w:p>
      <w:pPr>
        <w:spacing w:line="100" w:lineRule="exact"/>
        <w:ind w:firstLine="640" w:firstLineChars="200"/>
        <w:outlineLvl w:val="9"/>
        <w:rPr>
          <w:rFonts w:hint="eastAsia" w:ascii="仿宋_GB2312" w:hAnsi="宋体" w:eastAsia="仿宋_GB2312" w:cs="Arial"/>
          <w:bCs/>
          <w:color w:val="000000"/>
          <w:sz w:val="32"/>
          <w:szCs w:val="32"/>
        </w:rPr>
      </w:pPr>
    </w:p>
    <w:p>
      <w:pPr>
        <w:outlineLvl w:val="9"/>
        <w:rPr>
          <w:rFonts w:hint="eastAsia"/>
          <w:sz w:val="24"/>
          <w:szCs w:val="24"/>
          <w:lang w:val="en-US" w:eastAsia="zh-CN"/>
        </w:rPr>
      </w:pPr>
      <w:r>
        <w:rPr>
          <w:rFonts w:hint="eastAsia"/>
          <w:sz w:val="24"/>
          <w:szCs w:val="24"/>
          <w:lang w:val="en-US" w:eastAsia="zh-CN"/>
        </w:rPr>
        <w:br w:type="page"/>
      </w:r>
    </w:p>
    <w:p>
      <w:pPr>
        <w:pStyle w:val="2"/>
        <w:bidi w:val="0"/>
        <w:rPr>
          <w:rFonts w:hint="eastAsia"/>
        </w:rPr>
        <w:sectPr>
          <w:type w:val="continuous"/>
          <w:pgSz w:w="12240" w:h="16498"/>
          <w:pgMar w:top="1145" w:right="1389" w:bottom="1134" w:left="1389" w:header="1043" w:footer="992" w:gutter="0"/>
          <w:pgNumType w:fmt="decimal"/>
          <w:cols w:equalWidth="0" w:num="2">
            <w:col w:w="4518" w:space="425"/>
            <w:col w:w="4518"/>
          </w:cols>
          <w:rtlGutter w:val="0"/>
          <w:docGrid w:type="lines" w:linePitch="312" w:charSpace="0"/>
        </w:sectPr>
      </w:pPr>
    </w:p>
    <w:p>
      <w:pPr>
        <w:pStyle w:val="2"/>
        <w:bidi w:val="0"/>
        <w:rPr>
          <w:rFonts w:hint="eastAsia"/>
        </w:rPr>
      </w:pPr>
    </w:p>
    <w:p>
      <w:pPr>
        <w:pStyle w:val="2"/>
        <w:bidi w:val="0"/>
        <w:rPr>
          <w:rFonts w:hint="eastAsia"/>
        </w:rPr>
      </w:pPr>
      <w:bookmarkStart w:id="125" w:name="_Toc14921"/>
      <w:bookmarkStart w:id="126" w:name="_Toc23913"/>
      <w:r>
        <w:rPr>
          <w:rFonts w:hint="eastAsia"/>
        </w:rPr>
        <w:t>原平市人民政府办公室</w:t>
      </w:r>
      <w:bookmarkEnd w:id="125"/>
      <w:bookmarkEnd w:id="126"/>
    </w:p>
    <w:p>
      <w:pPr>
        <w:pStyle w:val="2"/>
        <w:bidi w:val="0"/>
        <w:rPr>
          <w:rFonts w:hint="eastAsia"/>
        </w:rPr>
      </w:pPr>
      <w:bookmarkStart w:id="127" w:name="_Toc25247"/>
      <w:bookmarkStart w:id="128" w:name="_Toc32300"/>
      <w:r>
        <w:rPr>
          <w:rFonts w:hint="eastAsia"/>
        </w:rPr>
        <w:t>关于印发原平市发展庭院经济助力乡村振兴</w:t>
      </w:r>
      <w:bookmarkEnd w:id="127"/>
      <w:bookmarkEnd w:id="128"/>
    </w:p>
    <w:p>
      <w:pPr>
        <w:pStyle w:val="2"/>
        <w:bidi w:val="0"/>
        <w:rPr>
          <w:rFonts w:hint="eastAsia"/>
        </w:rPr>
      </w:pPr>
      <w:bookmarkStart w:id="129" w:name="_Toc800"/>
      <w:bookmarkStart w:id="130" w:name="_Toc26287"/>
      <w:r>
        <w:rPr>
          <w:rFonts w:hint="eastAsia"/>
        </w:rPr>
        <w:t>实施方案的通知</w:t>
      </w:r>
      <w:bookmarkEnd w:id="129"/>
      <w:bookmarkEnd w:id="130"/>
    </w:p>
    <w:p>
      <w:pPr>
        <w:keepNext w:val="0"/>
        <w:keepLines w:val="0"/>
        <w:pageBreakBefore w:val="0"/>
        <w:widowControl w:val="0"/>
        <w:kinsoku/>
        <w:overflowPunct/>
        <w:topLinePunct w:val="0"/>
        <w:autoSpaceDE/>
        <w:autoSpaceDN/>
        <w:bidi w:val="0"/>
        <w:adjustRightInd w:val="0"/>
        <w:snapToGrid w:val="0"/>
        <w:spacing w:line="500" w:lineRule="exact"/>
        <w:ind w:left="0" w:leftChars="0" w:firstLine="0" w:firstLineChars="0"/>
        <w:jc w:val="center"/>
        <w:textAlignment w:val="auto"/>
        <w:rPr>
          <w:rFonts w:hint="eastAsia" w:ascii="仿宋_GB2312" w:hAnsi="宋体" w:eastAsia="仿宋_GB2312" w:cs="宋体"/>
          <w:sz w:val="24"/>
          <w:szCs w:val="24"/>
        </w:rPr>
      </w:pPr>
    </w:p>
    <w:p>
      <w:pPr>
        <w:pStyle w:val="3"/>
        <w:bidi w:val="0"/>
      </w:pPr>
      <w:bookmarkStart w:id="131" w:name="_Toc8559"/>
      <w:r>
        <w:rPr>
          <w:rFonts w:hint="eastAsia"/>
        </w:rPr>
        <w:t>原政办发〔</w:t>
      </w:r>
      <w:r>
        <w:t>202</w:t>
      </w:r>
      <w:r>
        <w:rPr>
          <w:rFonts w:hint="eastAsia"/>
        </w:rPr>
        <w:t>2〕38号</w:t>
      </w:r>
      <w:bookmarkEnd w:id="131"/>
    </w:p>
    <w:p>
      <w:pPr>
        <w:keepNext w:val="0"/>
        <w:keepLines w:val="0"/>
        <w:pageBreakBefore w:val="0"/>
        <w:widowControl w:val="0"/>
        <w:kinsoku/>
        <w:wordWrap/>
        <w:overflowPunct/>
        <w:topLinePunct w:val="0"/>
        <w:autoSpaceDE/>
        <w:autoSpaceDN/>
        <w:bidi w:val="0"/>
        <w:adjustRightInd/>
        <w:snapToGrid w:val="0"/>
        <w:spacing w:line="460" w:lineRule="exact"/>
        <w:ind w:left="0" w:leftChars="0" w:firstLine="0" w:firstLineChars="0"/>
        <w:textAlignment w:val="auto"/>
        <w:rPr>
          <w:rFonts w:hint="eastAsia" w:ascii="仿宋_GB2312" w:eastAsia="仿宋_GB2312"/>
          <w:sz w:val="24"/>
          <w:szCs w:val="24"/>
        </w:rPr>
      </w:pPr>
      <w:r>
        <w:rPr>
          <w:rFonts w:hint="eastAsia" w:ascii="仿宋_GB2312" w:eastAsia="仿宋_GB2312"/>
          <w:sz w:val="24"/>
          <w:szCs w:val="24"/>
        </w:rPr>
        <w:t>各乡（镇）人民政府，各有关单位：</w:t>
      </w:r>
    </w:p>
    <w:p>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仿宋_GB2312" w:eastAsia="仿宋_GB2312"/>
          <w:sz w:val="24"/>
          <w:szCs w:val="24"/>
        </w:rPr>
      </w:pPr>
      <w:r>
        <w:rPr>
          <w:rFonts w:hint="eastAsia" w:ascii="仿宋_GB2312" w:eastAsia="仿宋_GB2312"/>
          <w:sz w:val="24"/>
          <w:szCs w:val="24"/>
        </w:rPr>
        <w:t>《原平市发展庭院经济助力乡村振兴实施方案》已经市政府研究同意，现印发给你们，请认真贯彻落实。</w:t>
      </w:r>
    </w:p>
    <w:p>
      <w:pPr>
        <w:keepNext w:val="0"/>
        <w:keepLines w:val="0"/>
        <w:pageBreakBefore w:val="0"/>
        <w:widowControl w:val="0"/>
        <w:kinsoku/>
        <w:wordWrap/>
        <w:overflowPunct/>
        <w:topLinePunct w:val="0"/>
        <w:autoSpaceDE/>
        <w:autoSpaceDN/>
        <w:bidi w:val="0"/>
        <w:adjustRightInd/>
        <w:snapToGrid w:val="0"/>
        <w:spacing w:line="460" w:lineRule="exact"/>
        <w:textAlignment w:val="auto"/>
        <w:rPr>
          <w:rFonts w:hint="eastAsia" w:ascii="仿宋_GB2312" w:eastAsia="仿宋_GB2312"/>
          <w:sz w:val="24"/>
          <w:szCs w:val="24"/>
        </w:rPr>
      </w:pPr>
    </w:p>
    <w:p>
      <w:pPr>
        <w:keepNext w:val="0"/>
        <w:keepLines w:val="0"/>
        <w:pageBreakBefore w:val="0"/>
        <w:widowControl w:val="0"/>
        <w:kinsoku/>
        <w:wordWrap/>
        <w:overflowPunct/>
        <w:topLinePunct w:val="0"/>
        <w:autoSpaceDE/>
        <w:autoSpaceDN/>
        <w:bidi w:val="0"/>
        <w:adjustRightInd/>
        <w:snapToGrid w:val="0"/>
        <w:spacing w:line="460" w:lineRule="exact"/>
        <w:ind w:leftChars="2000"/>
        <w:jc w:val="center"/>
        <w:textAlignment w:val="auto"/>
        <w:rPr>
          <w:rFonts w:hint="eastAsia" w:ascii="仿宋_GB2312" w:eastAsia="仿宋_GB2312"/>
          <w:sz w:val="24"/>
          <w:szCs w:val="24"/>
        </w:rPr>
      </w:pPr>
      <w:r>
        <w:rPr>
          <w:rFonts w:hint="eastAsia" w:ascii="仿宋_GB2312" w:eastAsia="仿宋_GB2312"/>
          <w:sz w:val="24"/>
          <w:szCs w:val="24"/>
        </w:rPr>
        <w:t>原平市人民政府办公室</w:t>
      </w:r>
    </w:p>
    <w:p>
      <w:pPr>
        <w:keepNext w:val="0"/>
        <w:keepLines w:val="0"/>
        <w:pageBreakBefore w:val="0"/>
        <w:widowControl w:val="0"/>
        <w:kinsoku/>
        <w:wordWrap/>
        <w:overflowPunct/>
        <w:topLinePunct w:val="0"/>
        <w:autoSpaceDE/>
        <w:autoSpaceDN/>
        <w:bidi w:val="0"/>
        <w:adjustRightInd/>
        <w:snapToGrid w:val="0"/>
        <w:spacing w:line="460" w:lineRule="exact"/>
        <w:ind w:leftChars="2000"/>
        <w:jc w:val="center"/>
        <w:textAlignment w:val="auto"/>
        <w:rPr>
          <w:rFonts w:hint="eastAsia" w:ascii="仿宋_GB2312" w:eastAsia="仿宋_GB2312"/>
          <w:sz w:val="32"/>
          <w:szCs w:val="32"/>
        </w:rPr>
      </w:pPr>
      <w:r>
        <w:rPr>
          <w:rFonts w:hint="eastAsia" w:ascii="仿宋_GB2312" w:eastAsia="仿宋_GB2312"/>
          <w:sz w:val="24"/>
          <w:szCs w:val="24"/>
        </w:rPr>
        <w:t>2022年9月28日</w:t>
      </w:r>
    </w:p>
    <w:p>
      <w:pPr>
        <w:pStyle w:val="2"/>
        <w:bidi w:val="0"/>
        <w:rPr>
          <w:rFonts w:hint="eastAsia"/>
        </w:rPr>
      </w:pPr>
    </w:p>
    <w:p>
      <w:pPr>
        <w:pStyle w:val="32"/>
        <w:bidi w:val="0"/>
        <w:rPr>
          <w:rFonts w:hint="eastAsia"/>
        </w:rPr>
      </w:pPr>
      <w:bookmarkStart w:id="132" w:name="_Toc15813"/>
      <w:r>
        <w:rPr>
          <w:rFonts w:hint="eastAsia"/>
        </w:rPr>
        <w:t>原平市发展庭院经济助力乡村振兴实施方案</w:t>
      </w:r>
      <w:bookmarkEnd w:id="132"/>
    </w:p>
    <w:p>
      <w:pPr>
        <w:keepNext w:val="0"/>
        <w:keepLines w:val="0"/>
        <w:pageBreakBefore w:val="0"/>
        <w:widowControl w:val="0"/>
        <w:kinsoku/>
        <w:wordWrap/>
        <w:overflowPunct/>
        <w:topLinePunct w:val="0"/>
        <w:autoSpaceDE/>
        <w:autoSpaceDN/>
        <w:bidi w:val="0"/>
        <w:adjustRightInd/>
        <w:snapToGrid w:val="0"/>
        <w:spacing w:line="500" w:lineRule="exact"/>
        <w:textAlignment w:val="auto"/>
        <w:rPr>
          <w:rFonts w:hint="eastAsia" w:ascii="仿宋_GB2312" w:eastAsia="仿宋_GB2312"/>
          <w:sz w:val="24"/>
          <w:szCs w:val="24"/>
        </w:rPr>
      </w:pPr>
    </w:p>
    <w:p>
      <w:pPr>
        <w:keepNext w:val="0"/>
        <w:keepLines w:val="0"/>
        <w:pageBreakBefore w:val="0"/>
        <w:widowControl w:val="0"/>
        <w:kinsoku/>
        <w:wordWrap/>
        <w:overflowPunct/>
        <w:topLinePunct w:val="0"/>
        <w:autoSpaceDE/>
        <w:autoSpaceDN/>
        <w:bidi w:val="0"/>
        <w:adjustRightInd/>
        <w:snapToGrid w:val="0"/>
        <w:spacing w:line="500" w:lineRule="exact"/>
        <w:textAlignment w:val="auto"/>
        <w:rPr>
          <w:rFonts w:hint="eastAsia" w:ascii="仿宋_GB2312" w:eastAsia="仿宋_GB2312"/>
          <w:sz w:val="24"/>
          <w:szCs w:val="24"/>
        </w:rPr>
        <w:sectPr>
          <w:type w:val="continuous"/>
          <w:pgSz w:w="12240" w:h="16498"/>
          <w:pgMar w:top="1145" w:right="1389" w:bottom="1134" w:left="1389" w:header="1043" w:footer="992" w:gutter="0"/>
          <w:pgNumType w:fmt="decimal"/>
          <w:cols w:space="425"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val="0"/>
        <w:spacing w:line="490" w:lineRule="exact"/>
        <w:textAlignment w:val="auto"/>
        <w:rPr>
          <w:rFonts w:hint="eastAsia" w:ascii="仿宋_GB2312" w:eastAsia="仿宋_GB2312"/>
          <w:sz w:val="24"/>
          <w:szCs w:val="24"/>
        </w:rPr>
      </w:pPr>
      <w:r>
        <w:rPr>
          <w:rFonts w:hint="eastAsia" w:ascii="仿宋_GB2312" w:eastAsia="仿宋_GB2312"/>
          <w:sz w:val="24"/>
          <w:szCs w:val="24"/>
        </w:rPr>
        <w:t>为探索我市庭院经济发展模式路径，持续增加群众经营性收入，助力推进乡村振兴。根据《忻州市人民政府办公室关于发展庭院经济增加农民收入助力乡村振兴的意见》（忻政办发〔2022〕60号），结合我市实际，制定本方案。</w:t>
      </w:r>
    </w:p>
    <w:p>
      <w:pPr>
        <w:keepNext w:val="0"/>
        <w:keepLines w:val="0"/>
        <w:pageBreakBefore w:val="0"/>
        <w:widowControl w:val="0"/>
        <w:kinsoku/>
        <w:wordWrap/>
        <w:overflowPunct/>
        <w:topLinePunct w:val="0"/>
        <w:autoSpaceDE/>
        <w:autoSpaceDN/>
        <w:bidi w:val="0"/>
        <w:adjustRightInd/>
        <w:snapToGrid w:val="0"/>
        <w:spacing w:line="490" w:lineRule="exact"/>
        <w:textAlignment w:val="auto"/>
        <w:rPr>
          <w:rFonts w:hint="eastAsia" w:ascii="黑体" w:hAnsi="黑体" w:eastAsia="黑体"/>
          <w:sz w:val="26"/>
          <w:szCs w:val="26"/>
        </w:rPr>
        <w:sectPr>
          <w:type w:val="continuous"/>
          <w:pgSz w:w="12240" w:h="16498"/>
          <w:pgMar w:top="1145" w:right="1389" w:bottom="1134" w:left="1389" w:header="1043" w:footer="992" w:gutter="0"/>
          <w:pgNumType w:fmt="decimal"/>
          <w:cols w:space="425"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val="0"/>
        <w:spacing w:line="490" w:lineRule="exact"/>
        <w:textAlignment w:val="auto"/>
        <w:rPr>
          <w:rFonts w:hint="eastAsia" w:ascii="黑体" w:hAnsi="黑体" w:eastAsia="黑体"/>
          <w:sz w:val="26"/>
          <w:szCs w:val="26"/>
        </w:rPr>
      </w:pPr>
      <w:r>
        <w:rPr>
          <w:rFonts w:hint="eastAsia" w:ascii="黑体" w:hAnsi="黑体" w:eastAsia="黑体"/>
          <w:sz w:val="26"/>
          <w:szCs w:val="26"/>
        </w:rPr>
        <w:t>一、指导思想</w:t>
      </w:r>
      <w:r>
        <w:rPr>
          <w:rFonts w:hint="eastAsia" w:eastAsia="黑体"/>
          <w:sz w:val="26"/>
          <w:szCs w:val="26"/>
        </w:rPr>
        <w:t> </w:t>
      </w:r>
    </w:p>
    <w:p>
      <w:pPr>
        <w:keepNext w:val="0"/>
        <w:keepLines w:val="0"/>
        <w:pageBreakBefore w:val="0"/>
        <w:widowControl w:val="0"/>
        <w:kinsoku/>
        <w:wordWrap/>
        <w:overflowPunct/>
        <w:topLinePunct w:val="0"/>
        <w:autoSpaceDE/>
        <w:autoSpaceDN/>
        <w:bidi w:val="0"/>
        <w:adjustRightInd/>
        <w:snapToGrid w:val="0"/>
        <w:spacing w:line="490" w:lineRule="exact"/>
        <w:textAlignment w:val="auto"/>
        <w:rPr>
          <w:rFonts w:hint="eastAsia" w:ascii="仿宋_GB2312" w:eastAsia="仿宋_GB2312"/>
          <w:sz w:val="24"/>
          <w:szCs w:val="24"/>
        </w:rPr>
      </w:pPr>
      <w:r>
        <w:rPr>
          <w:rFonts w:hint="eastAsia" w:ascii="仿宋_GB2312" w:eastAsia="仿宋_GB2312"/>
          <w:sz w:val="24"/>
          <w:szCs w:val="24"/>
        </w:rPr>
        <w:t>以习近平新时代中国特色社会主义思想为指导，紧紧围绕巩固拓展脱贫攻坚成果同乡村振兴有效衔接工作，以农户为基本单元，以院落为经营场所，以庭院资源向经济资源转化为核心，以增加农民收入为根本，培育农村经济新的增长点，拓宽农民增收渠道。坚持示范先行、以点连线、以点带面，逐步实现“小庭院”与“大市场”的有效对接，</w:t>
      </w:r>
      <w:r>
        <w:rPr>
          <w:rFonts w:hint="eastAsia" w:ascii="仿宋_GB2312"/>
          <w:sz w:val="24"/>
          <w:szCs w:val="24"/>
        </w:rPr>
        <w:t>蹚</w:t>
      </w:r>
      <w:r>
        <w:rPr>
          <w:rFonts w:hint="eastAsia" w:ascii="仿宋_GB2312" w:eastAsia="仿宋_GB2312"/>
          <w:sz w:val="24"/>
          <w:szCs w:val="24"/>
        </w:rPr>
        <w:t>出发展庭院经济的原平路径。</w:t>
      </w:r>
      <w:r>
        <w:rPr>
          <w:rFonts w:hint="eastAsia" w:eastAsia="仿宋_GB2312"/>
          <w:sz w:val="24"/>
          <w:szCs w:val="24"/>
        </w:rPr>
        <w:t> </w:t>
      </w:r>
    </w:p>
    <w:p>
      <w:pPr>
        <w:keepNext w:val="0"/>
        <w:keepLines w:val="0"/>
        <w:pageBreakBefore w:val="0"/>
        <w:widowControl w:val="0"/>
        <w:kinsoku/>
        <w:wordWrap/>
        <w:overflowPunct/>
        <w:topLinePunct w:val="0"/>
        <w:autoSpaceDE/>
        <w:autoSpaceDN/>
        <w:bidi w:val="0"/>
        <w:adjustRightInd/>
        <w:snapToGrid w:val="0"/>
        <w:spacing w:line="490" w:lineRule="exact"/>
        <w:textAlignment w:val="auto"/>
        <w:rPr>
          <w:rFonts w:hint="eastAsia" w:ascii="仿宋_GB2312" w:eastAsia="仿宋_GB2312"/>
          <w:sz w:val="24"/>
          <w:szCs w:val="24"/>
        </w:rPr>
      </w:pPr>
      <w:r>
        <w:rPr>
          <w:rFonts w:hint="eastAsia" w:ascii="黑体" w:hAnsi="黑体" w:eastAsia="黑体"/>
          <w:sz w:val="26"/>
          <w:szCs w:val="26"/>
        </w:rPr>
        <w:t>二、工作目标</w:t>
      </w:r>
      <w:r>
        <w:rPr>
          <w:rFonts w:hint="eastAsia" w:ascii="黑体" w:hAnsi="黑体" w:eastAsia="黑体"/>
          <w:sz w:val="24"/>
          <w:szCs w:val="24"/>
        </w:rPr>
        <w:t> </w:t>
      </w:r>
    </w:p>
    <w:p>
      <w:pPr>
        <w:keepNext w:val="0"/>
        <w:keepLines w:val="0"/>
        <w:pageBreakBefore w:val="0"/>
        <w:widowControl w:val="0"/>
        <w:kinsoku/>
        <w:wordWrap/>
        <w:overflowPunct/>
        <w:topLinePunct w:val="0"/>
        <w:autoSpaceDE/>
        <w:autoSpaceDN/>
        <w:bidi w:val="0"/>
        <w:adjustRightInd/>
        <w:snapToGrid w:val="0"/>
        <w:spacing w:line="490" w:lineRule="exact"/>
        <w:textAlignment w:val="auto"/>
        <w:rPr>
          <w:rFonts w:hint="eastAsia" w:ascii="仿宋_GB2312" w:eastAsia="仿宋_GB2312"/>
          <w:sz w:val="24"/>
          <w:szCs w:val="24"/>
        </w:rPr>
      </w:pPr>
      <w:r>
        <w:rPr>
          <w:rFonts w:hint="eastAsia" w:ascii="仿宋_GB2312" w:eastAsia="仿宋_GB2312"/>
          <w:sz w:val="24"/>
          <w:szCs w:val="24"/>
        </w:rPr>
        <w:t>庭院经济是指立足农村所处地理位置、土壤条件、小气候特点，以农户为单位，充分利用农户房前屋后、家庭院落、闲置房屋、闲置土地等，面向市场，发展特色种植业、养殖业、加工业、文化旅游、生产生活服务的产业形式与生产经营活动。2022年各乡（镇、街道）要着力打造1—2个庭院经济示范村、5个以上示范户，确保每年培育发展一批庭院经济示范户和示范村，稳步实现发展规模稳中有升，到2025年，各乡（镇、街道）庭院经济示范户比例要达到5%以上，庭院经济示范村比例达到20%以上，庭院经济经营户和带动户人均纯收入高于人均可支配收入平均水平。</w:t>
      </w:r>
      <w:r>
        <w:rPr>
          <w:rFonts w:hint="eastAsia" w:eastAsia="仿宋_GB2312"/>
          <w:sz w:val="24"/>
          <w:szCs w:val="24"/>
        </w:rPr>
        <w:t> </w:t>
      </w:r>
    </w:p>
    <w:p>
      <w:pPr>
        <w:keepNext w:val="0"/>
        <w:keepLines w:val="0"/>
        <w:pageBreakBefore w:val="0"/>
        <w:widowControl w:val="0"/>
        <w:kinsoku/>
        <w:wordWrap/>
        <w:overflowPunct/>
        <w:topLinePunct w:val="0"/>
        <w:autoSpaceDE/>
        <w:autoSpaceDN/>
        <w:bidi w:val="0"/>
        <w:adjustRightInd/>
        <w:snapToGrid w:val="0"/>
        <w:spacing w:line="490" w:lineRule="exact"/>
        <w:textAlignment w:val="auto"/>
        <w:rPr>
          <w:rFonts w:hint="eastAsia" w:ascii="黑体" w:hAnsi="黑体" w:eastAsia="黑体"/>
          <w:sz w:val="24"/>
          <w:szCs w:val="24"/>
        </w:rPr>
      </w:pPr>
      <w:r>
        <w:rPr>
          <w:rFonts w:hint="eastAsia" w:ascii="黑体" w:hAnsi="黑体" w:eastAsia="黑体"/>
          <w:sz w:val="26"/>
          <w:szCs w:val="26"/>
        </w:rPr>
        <w:t>三、创新路径</w:t>
      </w:r>
      <w:r>
        <w:rPr>
          <w:rFonts w:hint="eastAsia" w:eastAsia="黑体"/>
          <w:sz w:val="24"/>
          <w:szCs w:val="24"/>
        </w:rPr>
        <w:t> </w:t>
      </w:r>
    </w:p>
    <w:p>
      <w:pPr>
        <w:keepNext w:val="0"/>
        <w:keepLines w:val="0"/>
        <w:pageBreakBefore w:val="0"/>
        <w:widowControl w:val="0"/>
        <w:kinsoku/>
        <w:wordWrap/>
        <w:overflowPunct/>
        <w:topLinePunct w:val="0"/>
        <w:autoSpaceDE/>
        <w:autoSpaceDN/>
        <w:bidi w:val="0"/>
        <w:adjustRightInd/>
        <w:snapToGrid w:val="0"/>
        <w:spacing w:line="490" w:lineRule="exact"/>
        <w:textAlignment w:val="auto"/>
        <w:rPr>
          <w:rFonts w:hint="eastAsia" w:ascii="仿宋_GB2312" w:eastAsia="仿宋_GB2312"/>
          <w:sz w:val="24"/>
          <w:szCs w:val="24"/>
        </w:rPr>
      </w:pPr>
      <w:r>
        <w:rPr>
          <w:rFonts w:hint="eastAsia" w:ascii="仿宋_GB2312" w:eastAsia="仿宋_GB2312"/>
          <w:sz w:val="24"/>
          <w:szCs w:val="24"/>
        </w:rPr>
        <w:t>按照“农户自愿、积极引导、因地制宜、因户施策”的原则，发展自主创业、龙头带动、互助代管、股份合作等庭院经济模式，创新利益联结机制，确保农户参与劳务得薪金、提供场所得租金、龙头企业得利金、代管代工得酬金、股份合作得现金。</w:t>
      </w:r>
      <w:r>
        <w:rPr>
          <w:rFonts w:hint="eastAsia" w:eastAsia="仿宋_GB2312"/>
          <w:sz w:val="24"/>
          <w:szCs w:val="24"/>
        </w:rPr>
        <w:t> </w:t>
      </w:r>
    </w:p>
    <w:p>
      <w:pPr>
        <w:keepNext w:val="0"/>
        <w:keepLines w:val="0"/>
        <w:pageBreakBefore w:val="0"/>
        <w:widowControl w:val="0"/>
        <w:kinsoku/>
        <w:wordWrap/>
        <w:overflowPunct/>
        <w:topLinePunct w:val="0"/>
        <w:autoSpaceDE/>
        <w:autoSpaceDN/>
        <w:bidi w:val="0"/>
        <w:adjustRightInd/>
        <w:snapToGrid w:val="0"/>
        <w:spacing w:line="490" w:lineRule="exact"/>
        <w:textAlignment w:val="auto"/>
        <w:rPr>
          <w:rFonts w:hint="eastAsia" w:ascii="仿宋_GB2312" w:eastAsia="仿宋_GB2312"/>
          <w:sz w:val="24"/>
          <w:szCs w:val="24"/>
        </w:rPr>
      </w:pPr>
      <w:r>
        <w:rPr>
          <w:rStyle w:val="29"/>
          <w:rFonts w:hint="eastAsia"/>
        </w:rPr>
        <w:t>（一）自主创业型。</w:t>
      </w:r>
      <w:r>
        <w:rPr>
          <w:rFonts w:hint="eastAsia" w:ascii="仿宋_GB2312" w:eastAsia="仿宋_GB2312"/>
          <w:sz w:val="24"/>
          <w:szCs w:val="24"/>
        </w:rPr>
        <w:t>鼓励有劳动能力的农户因地制宜，申请小额信贷等金融支持，自筹生产资金，自主经营发展庭院经济。</w:t>
      </w:r>
      <w:r>
        <w:rPr>
          <w:rFonts w:hint="eastAsia" w:eastAsia="仿宋_GB2312"/>
          <w:sz w:val="24"/>
          <w:szCs w:val="24"/>
        </w:rPr>
        <w:t> </w:t>
      </w:r>
    </w:p>
    <w:p>
      <w:pPr>
        <w:keepNext w:val="0"/>
        <w:keepLines w:val="0"/>
        <w:pageBreakBefore w:val="0"/>
        <w:widowControl w:val="0"/>
        <w:kinsoku/>
        <w:wordWrap/>
        <w:overflowPunct/>
        <w:topLinePunct w:val="0"/>
        <w:autoSpaceDE/>
        <w:autoSpaceDN/>
        <w:bidi w:val="0"/>
        <w:adjustRightInd/>
        <w:snapToGrid w:val="0"/>
        <w:spacing w:line="490" w:lineRule="exact"/>
        <w:textAlignment w:val="auto"/>
        <w:rPr>
          <w:rFonts w:hint="eastAsia" w:ascii="仿宋_GB2312" w:eastAsia="仿宋_GB2312"/>
          <w:sz w:val="24"/>
          <w:szCs w:val="24"/>
        </w:rPr>
      </w:pPr>
      <w:r>
        <w:rPr>
          <w:rStyle w:val="29"/>
          <w:rFonts w:hint="eastAsia"/>
        </w:rPr>
        <w:t>（二）龙头带动型。</w:t>
      </w:r>
      <w:r>
        <w:rPr>
          <w:rFonts w:hint="eastAsia" w:ascii="仿宋_GB2312" w:eastAsia="仿宋_GB2312"/>
          <w:sz w:val="24"/>
          <w:szCs w:val="24"/>
        </w:rPr>
        <w:t>发展龙头企业+农户订单模式，依托当地龙头企业发展庭院订单种植、养殖、加工，通过订单联结企业与农户，促进企农合作共赢。</w:t>
      </w:r>
      <w:r>
        <w:rPr>
          <w:rFonts w:hint="eastAsia" w:eastAsia="仿宋_GB2312"/>
          <w:sz w:val="24"/>
          <w:szCs w:val="24"/>
        </w:rPr>
        <w:t> </w:t>
      </w:r>
    </w:p>
    <w:p>
      <w:pPr>
        <w:keepNext w:val="0"/>
        <w:keepLines w:val="0"/>
        <w:pageBreakBefore w:val="0"/>
        <w:widowControl w:val="0"/>
        <w:kinsoku/>
        <w:wordWrap/>
        <w:overflowPunct/>
        <w:topLinePunct w:val="0"/>
        <w:autoSpaceDE/>
        <w:autoSpaceDN/>
        <w:bidi w:val="0"/>
        <w:adjustRightInd/>
        <w:snapToGrid w:val="0"/>
        <w:spacing w:line="490" w:lineRule="exact"/>
        <w:textAlignment w:val="auto"/>
        <w:rPr>
          <w:rFonts w:hint="eastAsia" w:ascii="仿宋_GB2312" w:eastAsia="仿宋_GB2312"/>
          <w:sz w:val="24"/>
          <w:szCs w:val="24"/>
        </w:rPr>
      </w:pPr>
      <w:r>
        <w:rPr>
          <w:rStyle w:val="29"/>
          <w:rFonts w:hint="eastAsia"/>
        </w:rPr>
        <w:t>（三）互助代管型。</w:t>
      </w:r>
      <w:r>
        <w:rPr>
          <w:rFonts w:hint="eastAsia" w:ascii="仿宋_GB2312" w:eastAsia="仿宋_GB2312"/>
          <w:sz w:val="24"/>
          <w:szCs w:val="24"/>
        </w:rPr>
        <w:t>无劳动能力或外出务工农户，本人不能在自家庭院发展庭院经济，可通过签订协议，委托第三方经营管理发展庭院经济，避免庭院土地资源浪费。</w:t>
      </w:r>
      <w:r>
        <w:rPr>
          <w:rFonts w:hint="eastAsia" w:eastAsia="仿宋_GB2312"/>
          <w:sz w:val="24"/>
          <w:szCs w:val="24"/>
        </w:rPr>
        <w:t> </w:t>
      </w:r>
    </w:p>
    <w:p>
      <w:pPr>
        <w:keepNext w:val="0"/>
        <w:keepLines w:val="0"/>
        <w:pageBreakBefore w:val="0"/>
        <w:widowControl w:val="0"/>
        <w:kinsoku/>
        <w:wordWrap/>
        <w:overflowPunct/>
        <w:topLinePunct w:val="0"/>
        <w:autoSpaceDE/>
        <w:autoSpaceDN/>
        <w:bidi w:val="0"/>
        <w:adjustRightInd/>
        <w:snapToGrid w:val="0"/>
        <w:spacing w:line="490" w:lineRule="exact"/>
        <w:textAlignment w:val="auto"/>
        <w:rPr>
          <w:rFonts w:hint="eastAsia" w:ascii="仿宋_GB2312" w:eastAsia="仿宋_GB2312"/>
          <w:sz w:val="24"/>
          <w:szCs w:val="24"/>
        </w:rPr>
      </w:pPr>
      <w:r>
        <w:rPr>
          <w:rStyle w:val="29"/>
          <w:rFonts w:hint="eastAsia"/>
        </w:rPr>
        <w:t>（四）股份合作型。</w:t>
      </w:r>
      <w:r>
        <w:rPr>
          <w:rFonts w:hint="eastAsia" w:ascii="仿宋_GB2312" w:eastAsia="仿宋_GB2312"/>
          <w:sz w:val="24"/>
          <w:szCs w:val="24"/>
        </w:rPr>
        <w:t>发挥农村经济合作社的作用，鼓励农户以现金、人力、庭院、技术等方式入股，共同发展庭院经济。</w:t>
      </w:r>
      <w:r>
        <w:rPr>
          <w:rFonts w:hint="eastAsia" w:eastAsia="仿宋_GB2312"/>
          <w:sz w:val="24"/>
          <w:szCs w:val="24"/>
        </w:rPr>
        <w:t> </w:t>
      </w:r>
    </w:p>
    <w:p>
      <w:pPr>
        <w:keepNext w:val="0"/>
        <w:keepLines w:val="0"/>
        <w:pageBreakBefore w:val="0"/>
        <w:widowControl w:val="0"/>
        <w:kinsoku/>
        <w:wordWrap/>
        <w:overflowPunct/>
        <w:topLinePunct w:val="0"/>
        <w:autoSpaceDE/>
        <w:autoSpaceDN/>
        <w:bidi w:val="0"/>
        <w:adjustRightInd/>
        <w:snapToGrid w:val="0"/>
        <w:spacing w:line="490" w:lineRule="exact"/>
        <w:textAlignment w:val="auto"/>
        <w:rPr>
          <w:rFonts w:hint="eastAsia" w:ascii="仿宋_GB2312" w:eastAsia="仿宋_GB2312"/>
          <w:sz w:val="24"/>
          <w:szCs w:val="24"/>
        </w:rPr>
      </w:pPr>
      <w:r>
        <w:rPr>
          <w:rFonts w:hint="eastAsia" w:ascii="黑体" w:hAnsi="黑体" w:eastAsia="黑体"/>
          <w:sz w:val="26"/>
          <w:szCs w:val="26"/>
        </w:rPr>
        <w:t>四、发展重点</w:t>
      </w:r>
      <w:r>
        <w:rPr>
          <w:rFonts w:hint="eastAsia" w:ascii="黑体" w:hAnsi="黑体" w:eastAsia="黑体"/>
          <w:sz w:val="24"/>
          <w:szCs w:val="24"/>
        </w:rPr>
        <w:t> </w:t>
      </w:r>
    </w:p>
    <w:p>
      <w:pPr>
        <w:keepNext w:val="0"/>
        <w:keepLines w:val="0"/>
        <w:pageBreakBefore w:val="0"/>
        <w:widowControl w:val="0"/>
        <w:kinsoku/>
        <w:wordWrap/>
        <w:overflowPunct/>
        <w:topLinePunct w:val="0"/>
        <w:autoSpaceDE/>
        <w:autoSpaceDN/>
        <w:bidi w:val="0"/>
        <w:adjustRightInd/>
        <w:snapToGrid w:val="0"/>
        <w:spacing w:line="490" w:lineRule="exact"/>
        <w:textAlignment w:val="auto"/>
        <w:rPr>
          <w:rFonts w:hint="eastAsia" w:ascii="仿宋_GB2312" w:eastAsia="仿宋_GB2312"/>
          <w:sz w:val="24"/>
          <w:szCs w:val="24"/>
        </w:rPr>
      </w:pPr>
      <w:r>
        <w:rPr>
          <w:rFonts w:hint="eastAsia" w:ascii="仿宋_GB2312" w:eastAsia="仿宋_GB2312"/>
          <w:sz w:val="24"/>
          <w:szCs w:val="24"/>
        </w:rPr>
        <w:t>坚持“龙头企业+”“合作社+”“经纪人+”“互联网+”“包保单位+”“城市食堂+”“城里人+”等多元化发展思路，拓宽订单统销、经纪人代销、电商直销、社会力量帮销、包保包销、定产定销等多形式销售渠道，促进庭院经济按市场需求健康发展。</w:t>
      </w:r>
      <w:r>
        <w:rPr>
          <w:rFonts w:hint="eastAsia" w:eastAsia="仿宋_GB2312"/>
          <w:sz w:val="24"/>
          <w:szCs w:val="24"/>
        </w:rPr>
        <w:t> </w:t>
      </w:r>
    </w:p>
    <w:p>
      <w:pPr>
        <w:keepNext w:val="0"/>
        <w:keepLines w:val="0"/>
        <w:pageBreakBefore w:val="0"/>
        <w:widowControl w:val="0"/>
        <w:kinsoku/>
        <w:wordWrap/>
        <w:overflowPunct/>
        <w:topLinePunct w:val="0"/>
        <w:autoSpaceDE/>
        <w:autoSpaceDN/>
        <w:bidi w:val="0"/>
        <w:adjustRightInd/>
        <w:snapToGrid w:val="0"/>
        <w:spacing w:line="490" w:lineRule="exact"/>
        <w:textAlignment w:val="auto"/>
        <w:rPr>
          <w:rFonts w:hint="eastAsia" w:ascii="仿宋_GB2312" w:eastAsia="仿宋_GB2312"/>
          <w:sz w:val="24"/>
          <w:szCs w:val="24"/>
        </w:rPr>
      </w:pPr>
      <w:r>
        <w:rPr>
          <w:rStyle w:val="29"/>
          <w:rFonts w:hint="eastAsia"/>
        </w:rPr>
        <w:t>（一）发展庭院特色种植。</w:t>
      </w:r>
      <w:r>
        <w:rPr>
          <w:rFonts w:hint="eastAsia" w:ascii="仿宋_GB2312" w:eastAsia="仿宋_GB2312"/>
          <w:sz w:val="24"/>
          <w:szCs w:val="24"/>
        </w:rPr>
        <w:t>要合理布局庭院生活区与种植区，重点发展蔬菜、林果、花卉等特色作物，因地制宜种植中药材、食用菌等经济附加值高的特色经济作物，形成与大田作物差异化、互补性发展，抢占市场空缺，提高种植效益。</w:t>
      </w:r>
      <w:r>
        <w:rPr>
          <w:rFonts w:hint="eastAsia" w:eastAsia="仿宋_GB2312"/>
          <w:sz w:val="24"/>
          <w:szCs w:val="24"/>
        </w:rPr>
        <w:t> </w:t>
      </w:r>
    </w:p>
    <w:p>
      <w:pPr>
        <w:keepNext w:val="0"/>
        <w:keepLines w:val="0"/>
        <w:pageBreakBefore w:val="0"/>
        <w:widowControl w:val="0"/>
        <w:kinsoku/>
        <w:wordWrap/>
        <w:overflowPunct/>
        <w:topLinePunct w:val="0"/>
        <w:autoSpaceDE/>
        <w:autoSpaceDN/>
        <w:bidi w:val="0"/>
        <w:adjustRightInd/>
        <w:snapToGrid w:val="0"/>
        <w:spacing w:line="490" w:lineRule="exact"/>
        <w:textAlignment w:val="auto"/>
        <w:rPr>
          <w:rFonts w:hint="eastAsia" w:ascii="仿宋_GB2312" w:eastAsia="仿宋_GB2312"/>
          <w:sz w:val="24"/>
          <w:szCs w:val="24"/>
        </w:rPr>
      </w:pPr>
      <w:r>
        <w:rPr>
          <w:rStyle w:val="29"/>
          <w:rFonts w:hint="eastAsia"/>
        </w:rPr>
        <w:t>（二）发展庭院特色养殖。</w:t>
      </w:r>
      <w:r>
        <w:rPr>
          <w:rFonts w:hint="eastAsia" w:ascii="仿宋_GB2312" w:eastAsia="仿宋_GB2312"/>
          <w:sz w:val="24"/>
          <w:szCs w:val="24"/>
        </w:rPr>
        <w:t>要合理规划庭院生活区与养殖区，实现人畜分离、干净整洁。改善庭院养殖条件，做到圈舍通风透气、采光良好，畜禽分栏、分群、分区养殖，提高生产管理水平，推动庭院养殖融入现代畜牧业生产体系。</w:t>
      </w:r>
      <w:r>
        <w:rPr>
          <w:rFonts w:hint="eastAsia" w:eastAsia="仿宋_GB2312"/>
          <w:sz w:val="24"/>
          <w:szCs w:val="24"/>
        </w:rPr>
        <w:t> </w:t>
      </w:r>
    </w:p>
    <w:p>
      <w:pPr>
        <w:keepNext w:val="0"/>
        <w:keepLines w:val="0"/>
        <w:pageBreakBefore w:val="0"/>
        <w:widowControl w:val="0"/>
        <w:kinsoku/>
        <w:wordWrap/>
        <w:overflowPunct/>
        <w:topLinePunct w:val="0"/>
        <w:autoSpaceDE/>
        <w:autoSpaceDN/>
        <w:bidi w:val="0"/>
        <w:adjustRightInd/>
        <w:snapToGrid w:val="0"/>
        <w:spacing w:line="490" w:lineRule="exact"/>
        <w:textAlignment w:val="auto"/>
        <w:rPr>
          <w:rFonts w:hint="eastAsia" w:ascii="仿宋_GB2312" w:eastAsia="仿宋_GB2312"/>
          <w:sz w:val="24"/>
          <w:szCs w:val="24"/>
        </w:rPr>
      </w:pPr>
      <w:r>
        <w:rPr>
          <w:rStyle w:val="29"/>
          <w:rFonts w:hint="eastAsia"/>
        </w:rPr>
        <w:t>（三）发展庭院特色加工。</w:t>
      </w:r>
      <w:r>
        <w:rPr>
          <w:rFonts w:hint="eastAsia" w:ascii="仿宋_GB2312" w:eastAsia="仿宋_GB2312"/>
          <w:sz w:val="24"/>
          <w:szCs w:val="24"/>
        </w:rPr>
        <w:t>深入挖掘开发地域特色鲜明、乡土气息浓厚的特色产业，支持有条件的农户利用庭院建立特色食品加工作坊，进行特色食品加工制作；支持发展传统手工艺品生产加工，挖掘发展刺绣、竹编、剪纸、木雕、石刻等传统手工业；依托乡村非物质文化遗产项目，大力发展一批特色鲜明、带动作用明显的非遗工坊；支持利用闲置庭院设立帮扶车间，带动农民增加收入。</w:t>
      </w:r>
      <w:r>
        <w:rPr>
          <w:rFonts w:hint="eastAsia" w:eastAsia="仿宋_GB2312"/>
          <w:sz w:val="24"/>
          <w:szCs w:val="24"/>
        </w:rPr>
        <w:t> </w:t>
      </w:r>
    </w:p>
    <w:p>
      <w:pPr>
        <w:keepNext w:val="0"/>
        <w:keepLines w:val="0"/>
        <w:pageBreakBefore w:val="0"/>
        <w:widowControl w:val="0"/>
        <w:kinsoku/>
        <w:wordWrap/>
        <w:overflowPunct/>
        <w:topLinePunct w:val="0"/>
        <w:autoSpaceDE/>
        <w:autoSpaceDN/>
        <w:bidi w:val="0"/>
        <w:adjustRightInd/>
        <w:snapToGrid w:val="0"/>
        <w:spacing w:line="490" w:lineRule="exact"/>
        <w:textAlignment w:val="auto"/>
        <w:rPr>
          <w:rFonts w:hint="eastAsia" w:ascii="仿宋_GB2312" w:eastAsia="仿宋_GB2312"/>
          <w:sz w:val="24"/>
          <w:szCs w:val="24"/>
        </w:rPr>
      </w:pPr>
      <w:r>
        <w:rPr>
          <w:rStyle w:val="29"/>
          <w:rFonts w:hint="eastAsia"/>
        </w:rPr>
        <w:t>（四）发展庭院特色文化旅游。</w:t>
      </w:r>
      <w:r>
        <w:rPr>
          <w:rFonts w:hint="eastAsia" w:ascii="仿宋_GB2312" w:eastAsia="仿宋_GB2312"/>
          <w:sz w:val="24"/>
          <w:szCs w:val="24"/>
        </w:rPr>
        <w:t>积极挖掘当地文化旅游资源，支持农户利用庭院发展特色民宿、家庭旅馆、休闲农庄、农家乐、小型采摘园等，依托庭院促进乡村餐饮、住宿、采摘、农事体验、特色产品销售、生态康养等农文旅融合产业发展，探索“私人定制”等模式，发展“休闲庭院”家庭服务。</w:t>
      </w:r>
      <w:r>
        <w:rPr>
          <w:rFonts w:hint="eastAsia" w:eastAsia="仿宋_GB2312"/>
          <w:sz w:val="24"/>
          <w:szCs w:val="24"/>
        </w:rPr>
        <w:t> </w:t>
      </w:r>
    </w:p>
    <w:p>
      <w:pPr>
        <w:keepNext w:val="0"/>
        <w:keepLines w:val="0"/>
        <w:pageBreakBefore w:val="0"/>
        <w:widowControl w:val="0"/>
        <w:kinsoku/>
        <w:wordWrap/>
        <w:overflowPunct/>
        <w:topLinePunct w:val="0"/>
        <w:autoSpaceDE/>
        <w:autoSpaceDN/>
        <w:bidi w:val="0"/>
        <w:adjustRightInd/>
        <w:snapToGrid w:val="0"/>
        <w:spacing w:line="490" w:lineRule="exact"/>
        <w:textAlignment w:val="auto"/>
        <w:rPr>
          <w:rFonts w:hint="eastAsia" w:ascii="仿宋_GB2312" w:eastAsia="仿宋_GB2312"/>
          <w:sz w:val="24"/>
          <w:szCs w:val="24"/>
        </w:rPr>
      </w:pPr>
      <w:r>
        <w:rPr>
          <w:rStyle w:val="29"/>
          <w:rFonts w:hint="eastAsia"/>
        </w:rPr>
        <w:t>（五）发展庭院生产生活服务。</w:t>
      </w:r>
      <w:r>
        <w:rPr>
          <w:rFonts w:hint="eastAsia" w:ascii="仿宋_GB2312" w:eastAsia="仿宋_GB2312"/>
          <w:sz w:val="24"/>
          <w:szCs w:val="24"/>
        </w:rPr>
        <w:t>鼓励当地龙头企业和农村经济合作社带动农户利用现有庭院开展农资配送、农机作业服务、农产品流通等生产性服务；支持农户利用庭院开办小超市、小餐饮、理发店、修理店等，开展生活性服务经营活动。支持农户开办网店，设立电商销售点、直播带货点、快递代办点等，为村民提供便利服务，为经营农户增加收入。</w:t>
      </w:r>
      <w:r>
        <w:rPr>
          <w:rFonts w:hint="eastAsia" w:eastAsia="仿宋_GB2312"/>
          <w:sz w:val="24"/>
          <w:szCs w:val="24"/>
        </w:rPr>
        <w:t>   </w:t>
      </w:r>
    </w:p>
    <w:p>
      <w:pPr>
        <w:keepNext w:val="0"/>
        <w:keepLines w:val="0"/>
        <w:pageBreakBefore w:val="0"/>
        <w:widowControl w:val="0"/>
        <w:kinsoku/>
        <w:wordWrap/>
        <w:overflowPunct/>
        <w:topLinePunct w:val="0"/>
        <w:autoSpaceDE/>
        <w:autoSpaceDN/>
        <w:bidi w:val="0"/>
        <w:adjustRightInd/>
        <w:snapToGrid w:val="0"/>
        <w:spacing w:line="490" w:lineRule="exact"/>
        <w:textAlignment w:val="auto"/>
        <w:rPr>
          <w:rFonts w:hint="eastAsia" w:ascii="仿宋_GB2312" w:eastAsia="仿宋_GB2312"/>
          <w:sz w:val="24"/>
          <w:szCs w:val="24"/>
        </w:rPr>
      </w:pPr>
      <w:r>
        <w:rPr>
          <w:rFonts w:hint="eastAsia" w:ascii="黑体" w:hAnsi="黑体" w:eastAsia="黑体"/>
          <w:sz w:val="26"/>
          <w:szCs w:val="26"/>
        </w:rPr>
        <w:t>五、扶持举措</w:t>
      </w:r>
      <w:r>
        <w:rPr>
          <w:rFonts w:hint="eastAsia" w:ascii="黑体" w:hAnsi="黑体" w:eastAsia="黑体"/>
          <w:sz w:val="24"/>
          <w:szCs w:val="24"/>
        </w:rPr>
        <w:t> </w:t>
      </w:r>
    </w:p>
    <w:p>
      <w:pPr>
        <w:keepNext w:val="0"/>
        <w:keepLines w:val="0"/>
        <w:pageBreakBefore w:val="0"/>
        <w:widowControl w:val="0"/>
        <w:kinsoku/>
        <w:wordWrap/>
        <w:overflowPunct/>
        <w:topLinePunct w:val="0"/>
        <w:autoSpaceDE/>
        <w:autoSpaceDN/>
        <w:bidi w:val="0"/>
        <w:adjustRightInd/>
        <w:snapToGrid w:val="0"/>
        <w:spacing w:line="490" w:lineRule="exact"/>
        <w:textAlignment w:val="auto"/>
        <w:rPr>
          <w:rFonts w:hint="eastAsia" w:ascii="仿宋_GB2312" w:eastAsia="仿宋_GB2312"/>
          <w:sz w:val="24"/>
          <w:szCs w:val="24"/>
        </w:rPr>
      </w:pPr>
      <w:r>
        <w:rPr>
          <w:rStyle w:val="29"/>
          <w:rFonts w:hint="eastAsia"/>
        </w:rPr>
        <w:t>（一）加大资金支持。</w:t>
      </w:r>
      <w:r>
        <w:rPr>
          <w:rFonts w:hint="eastAsia" w:ascii="仿宋_GB2312" w:eastAsia="仿宋_GB2312"/>
          <w:sz w:val="24"/>
          <w:szCs w:val="24"/>
        </w:rPr>
        <w:t>以乡（镇、街道）为单位谋划一批庭院经济示范项目，按照程序纳入巩固拓展脱贫攻坚成果和乡村振兴项目库进行管理。各级财政衔接推进乡村振兴补助资金通过以奖代补、贷款贴息、购买服务等方式对庭院经济给予支持，其中用于对脱贫户和监测户奖补额每户不超过2000元。动员社会资本投入庭院经济发展，促进共同发展。</w:t>
      </w:r>
      <w:r>
        <w:rPr>
          <w:rFonts w:hint="eastAsia" w:eastAsia="仿宋_GB2312"/>
          <w:sz w:val="24"/>
          <w:szCs w:val="24"/>
        </w:rPr>
        <w:t> </w:t>
      </w:r>
    </w:p>
    <w:p>
      <w:pPr>
        <w:keepNext w:val="0"/>
        <w:keepLines w:val="0"/>
        <w:pageBreakBefore w:val="0"/>
        <w:widowControl w:val="0"/>
        <w:kinsoku/>
        <w:wordWrap/>
        <w:overflowPunct/>
        <w:topLinePunct w:val="0"/>
        <w:autoSpaceDE/>
        <w:autoSpaceDN/>
        <w:bidi w:val="0"/>
        <w:adjustRightInd/>
        <w:snapToGrid w:val="0"/>
        <w:spacing w:line="490" w:lineRule="exact"/>
        <w:textAlignment w:val="auto"/>
        <w:rPr>
          <w:rFonts w:hint="eastAsia" w:ascii="仿宋_GB2312" w:eastAsia="仿宋_GB2312"/>
          <w:sz w:val="24"/>
          <w:szCs w:val="24"/>
        </w:rPr>
      </w:pPr>
      <w:r>
        <w:rPr>
          <w:rStyle w:val="29"/>
          <w:rFonts w:hint="eastAsia"/>
        </w:rPr>
        <w:t>（二）加强金融支持。</w:t>
      </w:r>
      <w:r>
        <w:rPr>
          <w:rFonts w:hint="eastAsia" w:ascii="仿宋_GB2312" w:eastAsia="仿宋_GB2312"/>
          <w:sz w:val="24"/>
          <w:szCs w:val="24"/>
        </w:rPr>
        <w:t>加大脱贫人口小额信贷投入力度，重点支持符合条件的脱贫户和监测户申请小额贷款用于发展庭院经济。鼓励金融机构向符合条件农户发放创业贷款，支持庭院经济发展，鼓励保险机构开发庭院经济特色险种，提升庭院经济风险保障水平。</w:t>
      </w:r>
      <w:r>
        <w:rPr>
          <w:rFonts w:hint="eastAsia" w:eastAsia="仿宋_GB2312"/>
          <w:sz w:val="24"/>
          <w:szCs w:val="24"/>
        </w:rPr>
        <w:t> </w:t>
      </w:r>
    </w:p>
    <w:p>
      <w:pPr>
        <w:keepNext w:val="0"/>
        <w:keepLines w:val="0"/>
        <w:pageBreakBefore w:val="0"/>
        <w:widowControl w:val="0"/>
        <w:kinsoku/>
        <w:wordWrap/>
        <w:overflowPunct/>
        <w:topLinePunct w:val="0"/>
        <w:autoSpaceDE/>
        <w:autoSpaceDN/>
        <w:bidi w:val="0"/>
        <w:adjustRightInd/>
        <w:snapToGrid w:val="0"/>
        <w:spacing w:line="490" w:lineRule="exact"/>
        <w:textAlignment w:val="auto"/>
        <w:rPr>
          <w:rFonts w:hint="eastAsia" w:ascii="仿宋_GB2312" w:eastAsia="仿宋_GB2312"/>
          <w:sz w:val="24"/>
          <w:szCs w:val="24"/>
        </w:rPr>
      </w:pPr>
      <w:r>
        <w:rPr>
          <w:rStyle w:val="29"/>
          <w:rFonts w:hint="eastAsia"/>
        </w:rPr>
        <w:t>（三）强化人才支持。</w:t>
      </w:r>
      <w:r>
        <w:rPr>
          <w:rFonts w:hint="eastAsia" w:ascii="仿宋_GB2312" w:eastAsia="仿宋_GB2312"/>
          <w:sz w:val="24"/>
          <w:szCs w:val="24"/>
        </w:rPr>
        <w:t>通过举办不同层次的专业技能培训班，提高庭院经济建设和经营管理水平。加强庭院经济技术队伍建设，完善科技服务体系，按比例配备技术人员，为庭院经济提供“产前、产中、产后”服务，做好各个环节的技术指导。强化对农民群众的科技培训，抓好庭院经济种植、养殖、农作物秸秆加工转化、休闲农业等技术推广活动。做好农畜产品质量安全和动物防疫工作，强化动物防疫监督，维护农畜产品质量和公共卫生安全，保障庭院经济健康稳定发展。</w:t>
      </w:r>
      <w:r>
        <w:rPr>
          <w:rFonts w:hint="eastAsia" w:eastAsia="仿宋_GB2312"/>
          <w:sz w:val="24"/>
          <w:szCs w:val="24"/>
        </w:rPr>
        <w:t> </w:t>
      </w:r>
    </w:p>
    <w:p>
      <w:pPr>
        <w:keepNext w:val="0"/>
        <w:keepLines w:val="0"/>
        <w:pageBreakBefore w:val="0"/>
        <w:widowControl w:val="0"/>
        <w:kinsoku/>
        <w:wordWrap/>
        <w:overflowPunct/>
        <w:topLinePunct w:val="0"/>
        <w:autoSpaceDE/>
        <w:autoSpaceDN/>
        <w:bidi w:val="0"/>
        <w:adjustRightInd/>
        <w:snapToGrid w:val="0"/>
        <w:spacing w:line="490" w:lineRule="exact"/>
        <w:textAlignment w:val="auto"/>
        <w:rPr>
          <w:rFonts w:hint="eastAsia" w:ascii="仿宋_GB2312" w:eastAsia="仿宋_GB2312"/>
          <w:sz w:val="24"/>
          <w:szCs w:val="24"/>
        </w:rPr>
        <w:sectPr>
          <w:type w:val="continuous"/>
          <w:pgSz w:w="12240" w:h="16498"/>
          <w:pgMar w:top="1145" w:right="1389" w:bottom="1134" w:left="1389" w:header="1043" w:footer="992" w:gutter="0"/>
          <w:pgNumType w:fmt="decimal"/>
          <w:cols w:equalWidth="0" w:num="2">
            <w:col w:w="4518" w:space="425"/>
            <w:col w:w="4518"/>
          </w:cols>
          <w:rtlGutter w:val="0"/>
          <w:docGrid w:type="lines" w:linePitch="312" w:charSpace="0"/>
        </w:sectPr>
      </w:pPr>
      <w:r>
        <w:rPr>
          <w:rStyle w:val="29"/>
          <w:rFonts w:hint="eastAsia"/>
        </w:rPr>
        <w:t>（四）加大消费帮扶。</w:t>
      </w:r>
      <w:r>
        <w:rPr>
          <w:rFonts w:hint="eastAsia" w:ascii="仿宋_GB2312" w:eastAsia="仿宋_GB2312"/>
          <w:sz w:val="24"/>
          <w:szCs w:val="24"/>
        </w:rPr>
        <w:t>创新“校农结合”“农超结合”“农企结合”等方式，充分发挥帮扶单位、合作社、龙头企业、能人大户等作用，围绕庭院经济生产、加工、贮藏、运销各个环节，充分利用“互联网+”将种</w:t>
      </w:r>
    </w:p>
    <w:p>
      <w:pPr>
        <w:keepNext w:val="0"/>
        <w:keepLines w:val="0"/>
        <w:pageBreakBefore w:val="0"/>
        <w:widowControl w:val="0"/>
        <w:kinsoku/>
        <w:wordWrap/>
        <w:overflowPunct/>
        <w:topLinePunct w:val="0"/>
        <w:autoSpaceDE/>
        <w:autoSpaceDN/>
        <w:bidi w:val="0"/>
        <w:adjustRightInd/>
        <w:snapToGrid w:val="0"/>
        <w:spacing w:line="510" w:lineRule="exact"/>
        <w:ind w:left="0" w:leftChars="0" w:firstLine="0" w:firstLineChars="0"/>
        <w:textAlignment w:val="auto"/>
        <w:rPr>
          <w:rFonts w:hint="eastAsia" w:ascii="仿宋_GB2312" w:eastAsia="仿宋_GB2312"/>
          <w:sz w:val="24"/>
          <w:szCs w:val="24"/>
        </w:rPr>
      </w:pPr>
      <w:r>
        <w:rPr>
          <w:rFonts w:hint="eastAsia" w:ascii="仿宋_GB2312" w:eastAsia="仿宋_GB2312"/>
          <w:sz w:val="24"/>
          <w:szCs w:val="24"/>
        </w:rPr>
        <w:t>养、加工、销售等与电子商务服务有机结合，扩大产品销售渠道，抓好产销对接。</w:t>
      </w:r>
      <w:r>
        <w:rPr>
          <w:rFonts w:hint="eastAsia" w:eastAsia="仿宋_GB2312"/>
          <w:sz w:val="24"/>
          <w:szCs w:val="24"/>
        </w:rPr>
        <w:t> </w:t>
      </w:r>
    </w:p>
    <w:p>
      <w:pPr>
        <w:keepNext w:val="0"/>
        <w:keepLines w:val="0"/>
        <w:pageBreakBefore w:val="0"/>
        <w:widowControl w:val="0"/>
        <w:kinsoku/>
        <w:wordWrap/>
        <w:overflowPunct/>
        <w:topLinePunct w:val="0"/>
        <w:autoSpaceDE/>
        <w:autoSpaceDN/>
        <w:bidi w:val="0"/>
        <w:adjustRightInd/>
        <w:snapToGrid w:val="0"/>
        <w:spacing w:line="510" w:lineRule="exact"/>
        <w:textAlignment w:val="auto"/>
        <w:rPr>
          <w:rFonts w:hint="eastAsia" w:ascii="黑体" w:hAnsi="黑体" w:eastAsia="黑体"/>
          <w:sz w:val="26"/>
          <w:szCs w:val="26"/>
        </w:rPr>
      </w:pPr>
      <w:r>
        <w:rPr>
          <w:rFonts w:hint="eastAsia" w:ascii="黑体" w:hAnsi="黑体" w:eastAsia="黑体"/>
          <w:sz w:val="26"/>
          <w:szCs w:val="26"/>
        </w:rPr>
        <w:t>六、相关保障 </w:t>
      </w:r>
    </w:p>
    <w:p>
      <w:pPr>
        <w:keepNext w:val="0"/>
        <w:keepLines w:val="0"/>
        <w:pageBreakBefore w:val="0"/>
        <w:widowControl w:val="0"/>
        <w:kinsoku/>
        <w:wordWrap/>
        <w:overflowPunct/>
        <w:topLinePunct w:val="0"/>
        <w:autoSpaceDE/>
        <w:autoSpaceDN/>
        <w:bidi w:val="0"/>
        <w:adjustRightInd/>
        <w:snapToGrid w:val="0"/>
        <w:spacing w:line="510" w:lineRule="exact"/>
        <w:textAlignment w:val="auto"/>
        <w:rPr>
          <w:rFonts w:hint="eastAsia" w:ascii="仿宋_GB2312" w:eastAsia="仿宋_GB2312"/>
          <w:sz w:val="24"/>
          <w:szCs w:val="24"/>
        </w:rPr>
      </w:pPr>
      <w:r>
        <w:rPr>
          <w:rStyle w:val="29"/>
          <w:rFonts w:hint="eastAsia"/>
        </w:rPr>
        <w:t>（一）加强组织领导。</w:t>
      </w:r>
      <w:r>
        <w:rPr>
          <w:rFonts w:hint="eastAsia" w:ascii="仿宋_GB2312" w:eastAsia="仿宋_GB2312"/>
          <w:sz w:val="24"/>
          <w:szCs w:val="24"/>
        </w:rPr>
        <w:t>各乡（镇、街道）要充分认识发展庭院经济的重要性，把发展庭院经济工作摆上重要议事日程，组建庭院经济发展工作专班，专项抓好庭院经济建设，各相关部门要协调配合，齐抓共管，加强指导和服务，实施好各项惠农政策，要解决庭院经济经营户反映的突出问题，积极推进庭院经济快速健康发展。</w:t>
      </w:r>
      <w:r>
        <w:rPr>
          <w:rFonts w:hint="eastAsia" w:eastAsia="仿宋_GB2312"/>
          <w:sz w:val="24"/>
          <w:szCs w:val="24"/>
        </w:rPr>
        <w:t> </w:t>
      </w:r>
    </w:p>
    <w:p>
      <w:pPr>
        <w:keepNext w:val="0"/>
        <w:keepLines w:val="0"/>
        <w:pageBreakBefore w:val="0"/>
        <w:widowControl w:val="0"/>
        <w:kinsoku/>
        <w:wordWrap/>
        <w:overflowPunct/>
        <w:topLinePunct w:val="0"/>
        <w:autoSpaceDE/>
        <w:autoSpaceDN/>
        <w:bidi w:val="0"/>
        <w:adjustRightInd/>
        <w:snapToGrid w:val="0"/>
        <w:spacing w:line="510" w:lineRule="exact"/>
        <w:textAlignment w:val="auto"/>
        <w:rPr>
          <w:rFonts w:hint="eastAsia" w:ascii="仿宋_GB2312" w:eastAsia="仿宋_GB2312"/>
          <w:sz w:val="24"/>
          <w:szCs w:val="24"/>
        </w:rPr>
      </w:pPr>
      <w:r>
        <w:rPr>
          <w:rStyle w:val="29"/>
          <w:rFonts w:hint="eastAsia"/>
        </w:rPr>
        <w:t>（二）抓好规划布局。</w:t>
      </w:r>
      <w:r>
        <w:rPr>
          <w:rFonts w:hint="eastAsia" w:ascii="仿宋_GB2312" w:eastAsia="仿宋_GB2312"/>
          <w:sz w:val="24"/>
          <w:szCs w:val="24"/>
        </w:rPr>
        <w:t>各乡（镇、街道）要注重优化庭院结构，与农村人居环境整治提升相结合，与庭院绿化美化相结合，因地制宜进行规划布局，制定合理的庭院经济建设规划和实施方案。乡村两级要立足当地自然资源条件，结合市场需求，按照“宜种则种、宜养则养、宜加则加”的原则，精心选择发展项目，充分利用房前屋后一切能够利用的自然资源、环境条件和庭院空间，以农户为发展主体，采取多种发展模式，快速推进庭院经济发展。</w:t>
      </w:r>
      <w:r>
        <w:rPr>
          <w:rFonts w:hint="eastAsia" w:eastAsia="仿宋_GB2312"/>
          <w:sz w:val="24"/>
          <w:szCs w:val="24"/>
        </w:rPr>
        <w:t> </w:t>
      </w:r>
    </w:p>
    <w:p>
      <w:pPr>
        <w:keepNext w:val="0"/>
        <w:keepLines w:val="0"/>
        <w:pageBreakBefore w:val="0"/>
        <w:widowControl w:val="0"/>
        <w:kinsoku/>
        <w:wordWrap/>
        <w:overflowPunct/>
        <w:topLinePunct w:val="0"/>
        <w:autoSpaceDE/>
        <w:autoSpaceDN/>
        <w:bidi w:val="0"/>
        <w:adjustRightInd/>
        <w:snapToGrid w:val="0"/>
        <w:spacing w:line="510" w:lineRule="exact"/>
        <w:textAlignment w:val="auto"/>
        <w:rPr>
          <w:rFonts w:hint="eastAsia" w:ascii="仿宋_GB2312" w:eastAsia="仿宋_GB2312"/>
          <w:sz w:val="24"/>
          <w:szCs w:val="24"/>
        </w:rPr>
      </w:pPr>
      <w:r>
        <w:rPr>
          <w:rStyle w:val="29"/>
          <w:rFonts w:hint="eastAsia"/>
        </w:rPr>
        <w:t>（三）强化分类指导。</w:t>
      </w:r>
      <w:r>
        <w:rPr>
          <w:rFonts w:hint="eastAsia" w:ascii="仿宋_GB2312" w:eastAsia="仿宋_GB2312"/>
          <w:sz w:val="24"/>
          <w:szCs w:val="24"/>
        </w:rPr>
        <w:t>各乡（镇、街道）要在广泛开展调研和摸底的基础上，对不同类型、不同层次、不同产业模式的庭院经济农户进行分类指导，对有意愿发展庭院经济的农户给予资金和技术服务；对有一定经营基础的农户，引导帮助完善思路、健全管理、规范发展、提升效益。对生产经营管理好、技术水平高、经营效益佳的庭院经济农户，在项目、资金、技术、服务上给予重点支持和奖励，促进其发展壮大，建成典型示范户。</w:t>
      </w:r>
      <w:r>
        <w:rPr>
          <w:rFonts w:hint="eastAsia" w:eastAsia="仿宋_GB2312"/>
          <w:sz w:val="24"/>
          <w:szCs w:val="24"/>
        </w:rPr>
        <w:t> </w:t>
      </w:r>
    </w:p>
    <w:p>
      <w:pPr>
        <w:keepNext w:val="0"/>
        <w:keepLines w:val="0"/>
        <w:pageBreakBefore w:val="0"/>
        <w:widowControl w:val="0"/>
        <w:kinsoku/>
        <w:wordWrap/>
        <w:overflowPunct/>
        <w:topLinePunct w:val="0"/>
        <w:autoSpaceDE/>
        <w:autoSpaceDN/>
        <w:bidi w:val="0"/>
        <w:adjustRightInd/>
        <w:snapToGrid w:val="0"/>
        <w:spacing w:line="510" w:lineRule="exact"/>
        <w:textAlignment w:val="auto"/>
        <w:rPr>
          <w:rFonts w:hint="eastAsia" w:ascii="仿宋_GB2312" w:eastAsia="仿宋_GB2312"/>
          <w:sz w:val="24"/>
          <w:szCs w:val="24"/>
        </w:rPr>
      </w:pPr>
      <w:r>
        <w:rPr>
          <w:rStyle w:val="29"/>
          <w:rFonts w:hint="eastAsia"/>
        </w:rPr>
        <w:t>（四）开展动态考核。</w:t>
      </w:r>
      <w:r>
        <w:rPr>
          <w:rFonts w:hint="eastAsia" w:ascii="仿宋_GB2312" w:eastAsia="仿宋_GB2312"/>
          <w:sz w:val="24"/>
          <w:szCs w:val="24"/>
        </w:rPr>
        <w:t>我市将发展庭院经济工作情况纳入巩固衔接年度考核中，对庭院经济组织有力、发展迅速、带动效果好的乡（镇、街道）给予表扬奖励，在衔接资金分配上予以倾斜支持。各乡（镇、街道）要制定各自的庭院经济考核办法，动态认定庭院经济示范村和示范户，并予以一定奖励补贴；按年度进行动态考评核验，对验收通过且发展较好的予以补贴激励，对运营效果不好甚至运营停滞的庭院经济示范村和示范户取消授牌，暂停发放补贴。</w:t>
      </w:r>
      <w:r>
        <w:rPr>
          <w:rFonts w:hint="eastAsia" w:eastAsia="仿宋_GB2312"/>
          <w:sz w:val="24"/>
          <w:szCs w:val="24"/>
        </w:rPr>
        <w:t> </w:t>
      </w:r>
    </w:p>
    <w:p>
      <w:pPr>
        <w:keepNext w:val="0"/>
        <w:keepLines w:val="0"/>
        <w:pageBreakBefore w:val="0"/>
        <w:widowControl w:val="0"/>
        <w:kinsoku/>
        <w:wordWrap/>
        <w:overflowPunct/>
        <w:topLinePunct w:val="0"/>
        <w:autoSpaceDE/>
        <w:autoSpaceDN/>
        <w:bidi w:val="0"/>
        <w:adjustRightInd/>
        <w:snapToGrid w:val="0"/>
        <w:spacing w:line="510" w:lineRule="exact"/>
        <w:textAlignment w:val="auto"/>
        <w:rPr>
          <w:rFonts w:hint="eastAsia" w:ascii="仿宋_GB2312" w:eastAsia="仿宋_GB2312"/>
          <w:sz w:val="24"/>
          <w:szCs w:val="24"/>
        </w:rPr>
      </w:pPr>
      <w:r>
        <w:rPr>
          <w:rStyle w:val="29"/>
          <w:rFonts w:hint="eastAsia"/>
        </w:rPr>
        <w:t>（五）加大宣传力度。</w:t>
      </w:r>
      <w:r>
        <w:rPr>
          <w:rFonts w:hint="eastAsia" w:ascii="仿宋_GB2312" w:eastAsia="仿宋_GB2312"/>
          <w:sz w:val="24"/>
          <w:szCs w:val="24"/>
        </w:rPr>
        <w:t>充分发挥电视、广播、报刊、网络等主流媒体的作用，宣传发展庭院经济的扶持政策和发展中的好经验、好做法，营造良好社会氛围。通过注册商标，打造优良品牌，加大宣传，提升本区域庭院经济的知名度。</w:t>
      </w:r>
      <w:r>
        <w:rPr>
          <w:rFonts w:hint="eastAsia" w:eastAsia="仿宋_GB2312"/>
          <w:sz w:val="24"/>
          <w:szCs w:val="24"/>
        </w:rPr>
        <w:t> </w:t>
      </w:r>
    </w:p>
    <w:p>
      <w:pPr>
        <w:keepNext w:val="0"/>
        <w:keepLines w:val="0"/>
        <w:pageBreakBefore w:val="0"/>
        <w:widowControl w:val="0"/>
        <w:kinsoku/>
        <w:wordWrap/>
        <w:overflowPunct/>
        <w:topLinePunct w:val="0"/>
        <w:autoSpaceDE/>
        <w:autoSpaceDN/>
        <w:bidi w:val="0"/>
        <w:adjustRightInd/>
        <w:snapToGrid w:val="0"/>
        <w:spacing w:line="490" w:lineRule="exact"/>
        <w:ind w:left="0" w:leftChars="0" w:firstLine="0" w:firstLineChars="0"/>
        <w:jc w:val="left"/>
        <w:textAlignment w:val="auto"/>
        <w:rPr>
          <w:rFonts w:hint="eastAsia"/>
          <w:sz w:val="24"/>
          <w:szCs w:val="24"/>
          <w:lang w:val="en-US" w:eastAsia="zh-CN"/>
        </w:rPr>
        <w:sectPr>
          <w:type w:val="continuous"/>
          <w:pgSz w:w="12240" w:h="16498"/>
          <w:pgMar w:top="1145" w:right="1389" w:bottom="1134" w:left="1389" w:header="1043" w:footer="992" w:gutter="0"/>
          <w:pgNumType w:fmt="decimal"/>
          <w:cols w:equalWidth="0" w:num="2">
            <w:col w:w="4518" w:space="425"/>
            <w:col w:w="4518"/>
          </w:cols>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val="0"/>
        <w:spacing w:line="490" w:lineRule="exact"/>
        <w:textAlignment w:val="auto"/>
        <w:rPr>
          <w:rFonts w:hint="eastAsia"/>
          <w:sz w:val="24"/>
          <w:szCs w:val="24"/>
          <w:lang w:val="en-US" w:eastAsia="zh-CN"/>
        </w:rPr>
      </w:pPr>
      <w:r>
        <w:rPr>
          <w:rFonts w:hint="eastAsia"/>
          <w:sz w:val="24"/>
          <w:szCs w:val="24"/>
          <w:lang w:val="en-US" w:eastAsia="zh-CN"/>
        </w:rPr>
        <w:br w:type="page"/>
      </w:r>
    </w:p>
    <w:p>
      <w:pPr>
        <w:rPr>
          <w:rFonts w:hint="eastAsia"/>
        </w:rPr>
      </w:pPr>
    </w:p>
    <w:p>
      <w:pPr>
        <w:pStyle w:val="2"/>
        <w:bidi w:val="0"/>
        <w:rPr>
          <w:rFonts w:hint="eastAsia"/>
        </w:rPr>
      </w:pPr>
      <w:bookmarkStart w:id="133" w:name="_Toc22088"/>
      <w:bookmarkStart w:id="134" w:name="_Toc16203"/>
      <w:r>
        <w:rPr>
          <w:rFonts w:hint="eastAsia"/>
        </w:rPr>
        <w:t>原平市人民政府办公室</w:t>
      </w:r>
      <w:bookmarkEnd w:id="133"/>
      <w:bookmarkEnd w:id="134"/>
    </w:p>
    <w:p>
      <w:pPr>
        <w:pStyle w:val="2"/>
        <w:bidi w:val="0"/>
        <w:rPr>
          <w:rFonts w:hint="eastAsia"/>
        </w:rPr>
      </w:pPr>
      <w:bookmarkStart w:id="135" w:name="_Toc675"/>
      <w:bookmarkStart w:id="136" w:name="_Toc21641"/>
      <w:r>
        <w:rPr>
          <w:rFonts w:hint="eastAsia"/>
        </w:rPr>
        <w:t>关于印发原平市加强和改进住宅物业管理工作</w:t>
      </w:r>
      <w:bookmarkEnd w:id="135"/>
      <w:bookmarkEnd w:id="136"/>
    </w:p>
    <w:p>
      <w:pPr>
        <w:pStyle w:val="2"/>
        <w:bidi w:val="0"/>
        <w:rPr>
          <w:rFonts w:hint="eastAsia"/>
        </w:rPr>
      </w:pPr>
      <w:bookmarkStart w:id="137" w:name="_Toc31955"/>
      <w:bookmarkStart w:id="138" w:name="_Toc28241"/>
      <w:r>
        <w:rPr>
          <w:rFonts w:hint="eastAsia"/>
        </w:rPr>
        <w:t>三年行动计划的通知</w:t>
      </w:r>
      <w:bookmarkEnd w:id="137"/>
      <w:bookmarkEnd w:id="138"/>
    </w:p>
    <w:p>
      <w:pPr>
        <w:keepNext w:val="0"/>
        <w:keepLines w:val="0"/>
        <w:pageBreakBefore w:val="0"/>
        <w:widowControl w:val="0"/>
        <w:kinsoku/>
        <w:overflowPunct/>
        <w:topLinePunct w:val="0"/>
        <w:autoSpaceDE/>
        <w:autoSpaceDN/>
        <w:bidi w:val="0"/>
        <w:adjustRightInd/>
        <w:snapToGrid w:val="0"/>
        <w:spacing w:line="500" w:lineRule="exact"/>
        <w:ind w:left="0" w:leftChars="0" w:firstLine="0" w:firstLineChars="0"/>
        <w:jc w:val="center"/>
        <w:textAlignment w:val="auto"/>
        <w:rPr>
          <w:rFonts w:hint="eastAsia" w:ascii="仿宋_GB2312" w:eastAsia="仿宋_GB2312"/>
          <w:sz w:val="24"/>
          <w:szCs w:val="24"/>
        </w:rPr>
      </w:pPr>
    </w:p>
    <w:p>
      <w:pPr>
        <w:pStyle w:val="3"/>
        <w:bidi w:val="0"/>
        <w:rPr>
          <w:rFonts w:hint="eastAsia"/>
        </w:rPr>
      </w:pPr>
      <w:bookmarkStart w:id="139" w:name="_Toc9400"/>
      <w:r>
        <w:rPr>
          <w:rFonts w:hint="eastAsia"/>
        </w:rPr>
        <w:t>原政办发〔2022〕39号</w:t>
      </w:r>
      <w:bookmarkEnd w:id="139"/>
    </w:p>
    <w:p>
      <w:pPr>
        <w:keepNext w:val="0"/>
        <w:keepLines w:val="0"/>
        <w:pageBreakBefore w:val="0"/>
        <w:widowControl w:val="0"/>
        <w:kinsoku/>
        <w:overflowPunct/>
        <w:topLinePunct w:val="0"/>
        <w:autoSpaceDE/>
        <w:autoSpaceDN/>
        <w:bidi w:val="0"/>
        <w:adjustRightInd/>
        <w:snapToGrid w:val="0"/>
        <w:spacing w:line="500" w:lineRule="exact"/>
        <w:ind w:left="0" w:leftChars="0" w:firstLine="0" w:firstLineChars="0"/>
        <w:textAlignment w:val="auto"/>
        <w:rPr>
          <w:rFonts w:hint="eastAsia" w:ascii="仿宋_GB2312" w:eastAsia="仿宋_GB2312"/>
          <w:sz w:val="24"/>
          <w:szCs w:val="24"/>
        </w:rPr>
      </w:pPr>
      <w:r>
        <w:rPr>
          <w:rFonts w:hint="eastAsia" w:ascii="仿宋_GB2312" w:eastAsia="仿宋_GB2312"/>
          <w:sz w:val="24"/>
          <w:szCs w:val="24"/>
        </w:rPr>
        <w:t>各乡（镇）人民政府，各有关单位：</w:t>
      </w:r>
    </w:p>
    <w:p>
      <w:pPr>
        <w:keepNext w:val="0"/>
        <w:keepLines w:val="0"/>
        <w:pageBreakBefore w:val="0"/>
        <w:widowControl w:val="0"/>
        <w:kinsoku/>
        <w:overflowPunct/>
        <w:topLinePunct w:val="0"/>
        <w:autoSpaceDE/>
        <w:autoSpaceDN/>
        <w:bidi w:val="0"/>
        <w:adjustRightInd/>
        <w:snapToGrid w:val="0"/>
        <w:spacing w:line="500" w:lineRule="exact"/>
        <w:ind w:firstLine="480" w:firstLineChars="200"/>
        <w:textAlignment w:val="auto"/>
        <w:rPr>
          <w:rFonts w:hint="eastAsia" w:ascii="仿宋_GB2312" w:eastAsia="仿宋_GB2312"/>
          <w:sz w:val="24"/>
          <w:szCs w:val="24"/>
        </w:rPr>
      </w:pPr>
      <w:r>
        <w:rPr>
          <w:rFonts w:hint="eastAsia" w:ascii="仿宋_GB2312" w:eastAsia="仿宋_GB2312"/>
          <w:sz w:val="24"/>
          <w:szCs w:val="24"/>
        </w:rPr>
        <w:t>《原平市加强和改进住宅物业管理工作三年行动计划》已经市政府研究同意，现印发给你们，请认真贯彻落实。</w:t>
      </w:r>
    </w:p>
    <w:p>
      <w:pPr>
        <w:keepNext w:val="0"/>
        <w:keepLines w:val="0"/>
        <w:pageBreakBefore w:val="0"/>
        <w:widowControl w:val="0"/>
        <w:kinsoku/>
        <w:overflowPunct/>
        <w:topLinePunct w:val="0"/>
        <w:autoSpaceDE/>
        <w:autoSpaceDN/>
        <w:bidi w:val="0"/>
        <w:adjustRightInd/>
        <w:snapToGrid w:val="0"/>
        <w:spacing w:line="500" w:lineRule="exact"/>
        <w:textAlignment w:val="auto"/>
        <w:rPr>
          <w:rFonts w:hint="eastAsia" w:ascii="仿宋_GB2312" w:eastAsia="仿宋_GB2312"/>
          <w:sz w:val="24"/>
          <w:szCs w:val="24"/>
        </w:rPr>
      </w:pPr>
    </w:p>
    <w:p>
      <w:pPr>
        <w:keepNext w:val="0"/>
        <w:keepLines w:val="0"/>
        <w:pageBreakBefore w:val="0"/>
        <w:widowControl w:val="0"/>
        <w:kinsoku/>
        <w:wordWrap/>
        <w:overflowPunct/>
        <w:topLinePunct w:val="0"/>
        <w:autoSpaceDE/>
        <w:autoSpaceDN/>
        <w:bidi w:val="0"/>
        <w:adjustRightInd/>
        <w:snapToGrid w:val="0"/>
        <w:spacing w:line="500" w:lineRule="exact"/>
        <w:ind w:leftChars="1900"/>
        <w:jc w:val="center"/>
        <w:textAlignment w:val="auto"/>
        <w:rPr>
          <w:rFonts w:hint="eastAsia" w:ascii="仿宋_GB2312" w:eastAsia="仿宋_GB2312"/>
          <w:sz w:val="24"/>
          <w:szCs w:val="24"/>
        </w:rPr>
      </w:pPr>
      <w:r>
        <w:rPr>
          <w:rFonts w:hint="eastAsia" w:ascii="仿宋_GB2312" w:eastAsia="仿宋_GB2312"/>
          <w:sz w:val="24"/>
          <w:szCs w:val="24"/>
        </w:rPr>
        <w:t>原平市人民政府办公室</w:t>
      </w:r>
    </w:p>
    <w:p>
      <w:pPr>
        <w:keepNext w:val="0"/>
        <w:keepLines w:val="0"/>
        <w:pageBreakBefore w:val="0"/>
        <w:widowControl w:val="0"/>
        <w:kinsoku/>
        <w:wordWrap/>
        <w:overflowPunct/>
        <w:topLinePunct w:val="0"/>
        <w:autoSpaceDE/>
        <w:autoSpaceDN/>
        <w:bidi w:val="0"/>
        <w:adjustRightInd/>
        <w:snapToGrid w:val="0"/>
        <w:spacing w:line="500" w:lineRule="exact"/>
        <w:ind w:leftChars="1900"/>
        <w:jc w:val="center"/>
        <w:textAlignment w:val="auto"/>
        <w:rPr>
          <w:rFonts w:hint="eastAsia" w:ascii="仿宋_GB2312" w:eastAsia="仿宋_GB2312"/>
          <w:sz w:val="32"/>
          <w:szCs w:val="32"/>
        </w:rPr>
      </w:pPr>
      <w:r>
        <w:rPr>
          <w:rFonts w:hint="eastAsia" w:ascii="仿宋_GB2312" w:eastAsia="仿宋_GB2312"/>
          <w:sz w:val="24"/>
          <w:szCs w:val="24"/>
        </w:rPr>
        <w:t>2022年10月11日</w:t>
      </w:r>
    </w:p>
    <w:p>
      <w:pPr>
        <w:spacing w:line="560" w:lineRule="exact"/>
        <w:rPr>
          <w:rFonts w:hint="eastAsia" w:ascii="仿宋_GB2312" w:eastAsia="仿宋_GB2312"/>
          <w:sz w:val="32"/>
          <w:szCs w:val="32"/>
        </w:rPr>
      </w:pPr>
    </w:p>
    <w:p>
      <w:pPr>
        <w:pStyle w:val="32"/>
        <w:bidi w:val="0"/>
        <w:rPr>
          <w:rFonts w:hint="eastAsia"/>
        </w:rPr>
      </w:pPr>
      <w:bookmarkStart w:id="140" w:name="_Toc27544"/>
      <w:r>
        <w:rPr>
          <w:rFonts w:hint="eastAsia"/>
        </w:rPr>
        <w:t>原平市加强和改进住宅物业管理工作</w:t>
      </w:r>
      <w:bookmarkEnd w:id="140"/>
    </w:p>
    <w:p>
      <w:pPr>
        <w:pStyle w:val="32"/>
        <w:bidi w:val="0"/>
        <w:rPr>
          <w:rFonts w:hint="eastAsia"/>
        </w:rPr>
      </w:pPr>
      <w:bookmarkStart w:id="141" w:name="_Toc18767"/>
      <w:r>
        <w:rPr>
          <w:rFonts w:hint="eastAsia"/>
        </w:rPr>
        <w:t>三年行动计划</w:t>
      </w:r>
      <w:bookmarkEnd w:id="141"/>
    </w:p>
    <w:p>
      <w:pPr>
        <w:spacing w:line="560" w:lineRule="exact"/>
        <w:jc w:val="center"/>
        <w:rPr>
          <w:rFonts w:hint="eastAsia" w:ascii="仿宋_GB2312" w:eastAsia="仿宋_GB2312"/>
          <w:sz w:val="32"/>
          <w:szCs w:val="32"/>
        </w:rPr>
      </w:pPr>
    </w:p>
    <w:p>
      <w:pPr>
        <w:keepNext w:val="0"/>
        <w:keepLines w:val="0"/>
        <w:pageBreakBefore w:val="0"/>
        <w:widowControl w:val="0"/>
        <w:kinsoku/>
        <w:wordWrap/>
        <w:overflowPunct/>
        <w:topLinePunct w:val="0"/>
        <w:autoSpaceDE/>
        <w:autoSpaceDN/>
        <w:bidi w:val="0"/>
        <w:adjustRightInd/>
        <w:snapToGrid w:val="0"/>
        <w:spacing w:line="500" w:lineRule="exact"/>
        <w:textAlignment w:val="auto"/>
        <w:rPr>
          <w:rFonts w:hint="eastAsia" w:ascii="仿宋_GB2312" w:eastAsia="仿宋_GB2312"/>
          <w:sz w:val="24"/>
          <w:szCs w:val="24"/>
        </w:rPr>
        <w:sectPr>
          <w:type w:val="continuous"/>
          <w:pgSz w:w="12240" w:h="16498"/>
          <w:pgMar w:top="1145" w:right="1389" w:bottom="1134" w:left="1389" w:header="1043" w:footer="992" w:gutter="0"/>
          <w:pgNumType w:fmt="decimal"/>
          <w:cols w:space="425"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val="0"/>
        <w:spacing w:line="500" w:lineRule="exact"/>
        <w:jc w:val="left"/>
        <w:textAlignment w:val="auto"/>
        <w:rPr>
          <w:rFonts w:hint="eastAsia" w:ascii="仿宋_GB2312" w:eastAsia="仿宋_GB2312"/>
          <w:sz w:val="24"/>
          <w:szCs w:val="24"/>
        </w:rPr>
      </w:pPr>
      <w:r>
        <w:rPr>
          <w:rFonts w:hint="eastAsia" w:ascii="仿宋_GB2312" w:eastAsia="仿宋_GB2312"/>
          <w:sz w:val="24"/>
          <w:szCs w:val="24"/>
        </w:rPr>
        <w:t>为贯彻落实《山西省加强和改进住宅物业管理工作三年行动计划（2021—2023年）》（晋政办发〔2021〕55号）《忻州市加强和改进住宅物业管理工作三年行动计划（2021—2023年）》（忻政办发〔2021〕67号）《忻州市人民政府办公室关于建立推进全市住宅小区物业管理长效机制的实施意见》（忻政办发〔2021〕44号）等文件精神，结合我市实际，制定本行动计划。</w:t>
      </w:r>
    </w:p>
    <w:p>
      <w:pPr>
        <w:keepNext w:val="0"/>
        <w:keepLines w:val="0"/>
        <w:pageBreakBefore w:val="0"/>
        <w:widowControl w:val="0"/>
        <w:kinsoku/>
        <w:wordWrap/>
        <w:overflowPunct/>
        <w:topLinePunct w:val="0"/>
        <w:autoSpaceDE/>
        <w:autoSpaceDN/>
        <w:bidi w:val="0"/>
        <w:adjustRightInd/>
        <w:snapToGrid w:val="0"/>
        <w:spacing w:line="500" w:lineRule="exact"/>
        <w:ind w:firstLine="520" w:firstLineChars="200"/>
        <w:textAlignment w:val="auto"/>
        <w:rPr>
          <w:rFonts w:hint="eastAsia" w:ascii="黑体" w:hAnsi="黑体" w:eastAsia="黑体"/>
          <w:sz w:val="26"/>
          <w:szCs w:val="26"/>
        </w:rPr>
        <w:sectPr>
          <w:type w:val="continuous"/>
          <w:pgSz w:w="12240" w:h="16498"/>
          <w:pgMar w:top="1145" w:right="1389" w:bottom="1134" w:left="1389" w:header="1043" w:footer="992" w:gutter="0"/>
          <w:pgNumType w:fmt="decimal"/>
          <w:cols w:space="425"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val="0"/>
        <w:spacing w:line="500" w:lineRule="exact"/>
        <w:ind w:firstLine="520" w:firstLineChars="200"/>
        <w:textAlignment w:val="auto"/>
        <w:rPr>
          <w:rFonts w:hint="eastAsia" w:ascii="仿宋_GB2312" w:eastAsia="仿宋_GB2312"/>
          <w:sz w:val="26"/>
          <w:szCs w:val="26"/>
        </w:rPr>
      </w:pPr>
      <w:r>
        <w:rPr>
          <w:rFonts w:hint="eastAsia" w:ascii="黑体" w:hAnsi="黑体" w:eastAsia="黑体"/>
          <w:sz w:val="26"/>
          <w:szCs w:val="26"/>
        </w:rPr>
        <w:t>一、指导思想</w:t>
      </w:r>
    </w:p>
    <w:p>
      <w:pPr>
        <w:keepNext w:val="0"/>
        <w:keepLines w:val="0"/>
        <w:pageBreakBefore w:val="0"/>
        <w:widowControl w:val="0"/>
        <w:kinsoku/>
        <w:wordWrap/>
        <w:overflowPunct/>
        <w:topLinePunct w:val="0"/>
        <w:autoSpaceDE/>
        <w:autoSpaceDN/>
        <w:bidi w:val="0"/>
        <w:adjustRightInd/>
        <w:snapToGrid w:val="0"/>
        <w:spacing w:line="500" w:lineRule="exact"/>
        <w:textAlignment w:val="auto"/>
        <w:rPr>
          <w:rFonts w:hint="eastAsia" w:ascii="仿宋_GB2312" w:eastAsia="仿宋_GB2312"/>
          <w:spacing w:val="-6"/>
          <w:sz w:val="24"/>
          <w:szCs w:val="24"/>
        </w:rPr>
      </w:pPr>
      <w:r>
        <w:rPr>
          <w:rFonts w:hint="eastAsia" w:ascii="仿宋_GB2312" w:eastAsia="仿宋_GB2312"/>
          <w:sz w:val="24"/>
          <w:szCs w:val="24"/>
        </w:rPr>
        <w:t>以习近平新时代中国特色社会主义思想为指导，深入贯彻党的十九大和十九届历次全会精神，认真贯彻习近平总书记视察山西重要讲话重要指示精神，按照山西省委、省政府全方位推进高质量发展的决策部署，围绕忻州市委、市政府关于建设现代化小区的有关要求，全面贯彻落实《忻州市住宅物业管理条例》和《忻州市人民政府办公室关于建立推进全市住宅小区物业管理长效机制的实施意见》（忻政办发〔2021〕44号），以发挥业主委员会自治作用为基点，以破解难题为重点，进一步理顺物业管理体制机制，不断强化物业服务企业监管，逐步形成良性互动的物业治理格局，确保人民安居乐业、</w:t>
      </w:r>
      <w:r>
        <w:rPr>
          <w:rFonts w:hint="eastAsia" w:ascii="仿宋_GB2312" w:eastAsia="仿宋_GB2312"/>
          <w:spacing w:val="-6"/>
          <w:sz w:val="24"/>
          <w:szCs w:val="24"/>
        </w:rPr>
        <w:t>社会安定有序，构建物业住宅小区治理新格局。</w:t>
      </w:r>
    </w:p>
    <w:p>
      <w:pPr>
        <w:keepNext w:val="0"/>
        <w:keepLines w:val="0"/>
        <w:pageBreakBefore w:val="0"/>
        <w:widowControl w:val="0"/>
        <w:kinsoku/>
        <w:wordWrap/>
        <w:overflowPunct/>
        <w:topLinePunct w:val="0"/>
        <w:autoSpaceDE/>
        <w:autoSpaceDN/>
        <w:bidi w:val="0"/>
        <w:adjustRightInd/>
        <w:snapToGrid w:val="0"/>
        <w:spacing w:line="500" w:lineRule="exact"/>
        <w:ind w:firstLine="520" w:firstLineChars="200"/>
        <w:textAlignment w:val="auto"/>
        <w:rPr>
          <w:rFonts w:hint="eastAsia" w:ascii="黑体" w:hAnsi="黑体" w:eastAsia="黑体"/>
          <w:sz w:val="26"/>
          <w:szCs w:val="26"/>
        </w:rPr>
      </w:pPr>
      <w:r>
        <w:rPr>
          <w:rFonts w:hint="eastAsia" w:ascii="黑体" w:hAnsi="黑体" w:eastAsia="黑体"/>
          <w:sz w:val="26"/>
          <w:szCs w:val="26"/>
        </w:rPr>
        <w:t>二、工作目标</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仿宋_GB2312" w:eastAsia="仿宋_GB2312"/>
          <w:sz w:val="24"/>
          <w:szCs w:val="24"/>
        </w:rPr>
      </w:pPr>
      <w:r>
        <w:rPr>
          <w:rFonts w:hint="eastAsia" w:ascii="仿宋_GB2312" w:eastAsia="仿宋_GB2312"/>
          <w:sz w:val="24"/>
          <w:szCs w:val="24"/>
        </w:rPr>
        <w:t>城区范围内以街道办事处为单位，城区范围外以乡（镇）为单位，通过建立健全激励机制，在各住宅小区开展“加强物业管理，共建美好家园”活动。到2021年底，城区开展加强和改进住宅物业管理工作的乡（镇、街道）达到20%以上，到2022年底达到60%以上，到2023年底实现全覆盖。通过三年努力，物业管理体系不断健全，乡（镇、街道）和社区的物业管理力量和服务能力进一步增强，物业多领域综合服务品质显著提升，基本形成党组织领导、多元共建、协商共治、科技支撑、成果共享的物业管理服务新格局。在此过程中，以最终实现“现代化住宅小区”为目标，以红色物业、红色业委会为引领,以物业企业信用等级评价为抓手，坚持法治思维，发展和创新物业管理服务机制，理顺社区建设、物业管理、业主自治之间的关系，构建“党建引领、社区管理、业主自治、物业服务、行业指导”物业管理长效机制。</w:t>
      </w:r>
    </w:p>
    <w:p>
      <w:pPr>
        <w:keepNext w:val="0"/>
        <w:keepLines w:val="0"/>
        <w:pageBreakBefore w:val="0"/>
        <w:widowControl w:val="0"/>
        <w:kinsoku/>
        <w:wordWrap/>
        <w:overflowPunct/>
        <w:topLinePunct w:val="0"/>
        <w:autoSpaceDE/>
        <w:autoSpaceDN/>
        <w:bidi w:val="0"/>
        <w:adjustRightInd/>
        <w:snapToGrid w:val="0"/>
        <w:spacing w:line="500" w:lineRule="exact"/>
        <w:ind w:firstLine="520" w:firstLineChars="200"/>
        <w:textAlignment w:val="auto"/>
        <w:rPr>
          <w:rFonts w:hint="eastAsia" w:ascii="黑体" w:hAnsi="黑体" w:eastAsia="黑体"/>
          <w:sz w:val="26"/>
          <w:szCs w:val="26"/>
        </w:rPr>
      </w:pPr>
      <w:r>
        <w:rPr>
          <w:rFonts w:hint="eastAsia" w:ascii="黑体" w:hAnsi="黑体" w:eastAsia="黑体"/>
          <w:sz w:val="26"/>
          <w:szCs w:val="26"/>
        </w:rPr>
        <w:t>三、工作原则</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仿宋_GB2312" w:eastAsia="仿宋_GB2312"/>
          <w:sz w:val="24"/>
          <w:szCs w:val="24"/>
        </w:rPr>
      </w:pPr>
      <w:r>
        <w:rPr>
          <w:rStyle w:val="29"/>
          <w:rFonts w:hint="eastAsia"/>
        </w:rPr>
        <w:t>（一）统一领导，综合协调。</w:t>
      </w:r>
      <w:r>
        <w:rPr>
          <w:rFonts w:hint="eastAsia" w:ascii="仿宋_GB2312" w:eastAsia="仿宋_GB2312"/>
          <w:sz w:val="24"/>
          <w:szCs w:val="24"/>
        </w:rPr>
        <w:t>将物业管理纳入基层社会综合治理大平台，实行统一领导、统一协调。各乡（镇、街道）要将物业住宅小区治理纳入社区建设工作范畴统筹考虑，综合协调解决物业住宅小区治理中遇到的各类问题。</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仿宋_GB2312" w:eastAsia="仿宋_GB2312"/>
          <w:sz w:val="24"/>
          <w:szCs w:val="24"/>
        </w:rPr>
      </w:pPr>
      <w:r>
        <w:rPr>
          <w:rStyle w:val="29"/>
          <w:rFonts w:hint="eastAsia"/>
        </w:rPr>
        <w:t>（二）分级负责，属地管理。</w:t>
      </w:r>
      <w:r>
        <w:rPr>
          <w:rFonts w:hint="eastAsia" w:ascii="仿宋_GB2312" w:eastAsia="仿宋_GB2312"/>
          <w:sz w:val="24"/>
          <w:szCs w:val="24"/>
        </w:rPr>
        <w:t>充分发挥综合管理工作优势，积极采取有效措施，进一步整合管理资源，明确责任主体，落实管理责任，强化协调服务和考核监督，真正将物业住宅小区治理工作职责落到实处。</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仿宋_GB2312" w:eastAsia="仿宋_GB2312"/>
          <w:sz w:val="24"/>
          <w:szCs w:val="24"/>
        </w:rPr>
      </w:pPr>
      <w:r>
        <w:rPr>
          <w:rStyle w:val="29"/>
          <w:rFonts w:hint="eastAsia"/>
        </w:rPr>
        <w:t>（三）权责清晰，保障到位。</w:t>
      </w:r>
      <w:r>
        <w:rPr>
          <w:rFonts w:hint="eastAsia" w:ascii="仿宋_GB2312" w:eastAsia="仿宋_GB2312"/>
          <w:sz w:val="24"/>
          <w:szCs w:val="24"/>
        </w:rPr>
        <w:t>各乡（镇、街道）和市直各相关职能部门要按照权责统一原则，科学划分物业住宅小区治理的职责，为做好物业住宅小区治理工作提供保障。</w:t>
      </w:r>
    </w:p>
    <w:p>
      <w:pPr>
        <w:keepNext w:val="0"/>
        <w:keepLines w:val="0"/>
        <w:pageBreakBefore w:val="0"/>
        <w:widowControl w:val="0"/>
        <w:kinsoku/>
        <w:wordWrap/>
        <w:overflowPunct/>
        <w:topLinePunct w:val="0"/>
        <w:autoSpaceDE/>
        <w:autoSpaceDN/>
        <w:bidi w:val="0"/>
        <w:adjustRightInd/>
        <w:snapToGrid w:val="0"/>
        <w:spacing w:line="500" w:lineRule="exact"/>
        <w:ind w:firstLine="520" w:firstLineChars="200"/>
        <w:textAlignment w:val="auto"/>
        <w:rPr>
          <w:rFonts w:hint="eastAsia" w:ascii="黑体" w:hAnsi="黑体" w:eastAsia="黑体"/>
          <w:sz w:val="26"/>
          <w:szCs w:val="26"/>
        </w:rPr>
      </w:pPr>
      <w:r>
        <w:rPr>
          <w:rFonts w:hint="eastAsia" w:ascii="黑体" w:hAnsi="黑体" w:eastAsia="黑体"/>
          <w:sz w:val="26"/>
          <w:szCs w:val="26"/>
        </w:rPr>
        <w:t>四、组织机构</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仿宋_GB2312" w:eastAsia="仿宋_GB2312"/>
          <w:sz w:val="24"/>
          <w:szCs w:val="24"/>
        </w:rPr>
      </w:pPr>
      <w:r>
        <w:rPr>
          <w:rFonts w:hint="eastAsia" w:ascii="仿宋_GB2312" w:eastAsia="仿宋_GB2312"/>
          <w:sz w:val="24"/>
          <w:szCs w:val="24"/>
        </w:rPr>
        <w:t>为切实加强和改进住宅物业管理工作，成立原平市加强和改进住宅物业管理工作领导小组。</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仿宋_GB2312" w:eastAsia="仿宋_GB2312"/>
          <w:sz w:val="24"/>
          <w:szCs w:val="24"/>
        </w:rPr>
      </w:pPr>
      <w:r>
        <w:rPr>
          <w:rFonts w:hint="eastAsia" w:ascii="仿宋_GB2312" w:eastAsia="仿宋_GB2312"/>
          <w:sz w:val="24"/>
          <w:szCs w:val="24"/>
        </w:rPr>
        <w:t>组  长：</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仿宋_GB2312" w:eastAsia="仿宋_GB2312"/>
          <w:sz w:val="24"/>
          <w:szCs w:val="24"/>
        </w:rPr>
      </w:pPr>
      <w:r>
        <w:rPr>
          <w:rFonts w:hint="eastAsia" w:ascii="仿宋_GB2312" w:eastAsia="仿宋_GB2312"/>
          <w:sz w:val="24"/>
          <w:szCs w:val="24"/>
        </w:rPr>
        <w:t>张玮华  市政府副市长</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仿宋_GB2312" w:eastAsia="仿宋_GB2312"/>
          <w:sz w:val="24"/>
          <w:szCs w:val="24"/>
        </w:rPr>
      </w:pPr>
      <w:r>
        <w:rPr>
          <w:rFonts w:hint="eastAsia" w:ascii="仿宋_GB2312" w:eastAsia="仿宋_GB2312"/>
          <w:sz w:val="24"/>
          <w:szCs w:val="24"/>
        </w:rPr>
        <w:t>副组长：</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仿宋_GB2312" w:eastAsia="仿宋_GB2312"/>
          <w:sz w:val="24"/>
          <w:szCs w:val="24"/>
        </w:rPr>
      </w:pPr>
      <w:r>
        <w:rPr>
          <w:rFonts w:hint="eastAsia" w:ascii="仿宋_GB2312" w:eastAsia="仿宋_GB2312"/>
          <w:sz w:val="24"/>
          <w:szCs w:val="24"/>
        </w:rPr>
        <w:t>薛志敏  市政府办公室副主任</w:t>
      </w:r>
    </w:p>
    <w:p>
      <w:pPr>
        <w:keepNext w:val="0"/>
        <w:keepLines w:val="0"/>
        <w:pageBreakBefore w:val="0"/>
        <w:widowControl w:val="0"/>
        <w:kinsoku/>
        <w:wordWrap/>
        <w:overflowPunct/>
        <w:topLinePunct w:val="0"/>
        <w:autoSpaceDE/>
        <w:autoSpaceDN/>
        <w:bidi w:val="0"/>
        <w:adjustRightInd/>
        <w:snapToGrid w:val="0"/>
        <w:spacing w:line="500" w:lineRule="exact"/>
        <w:textAlignment w:val="auto"/>
        <w:rPr>
          <w:rFonts w:hint="eastAsia" w:ascii="仿宋_GB2312" w:eastAsia="仿宋_GB2312"/>
          <w:sz w:val="24"/>
          <w:szCs w:val="24"/>
        </w:rPr>
      </w:pPr>
      <w:r>
        <w:rPr>
          <w:rFonts w:hint="eastAsia" w:ascii="仿宋_GB2312" w:eastAsia="仿宋_GB2312"/>
          <w:sz w:val="24"/>
          <w:szCs w:val="24"/>
        </w:rPr>
        <w:t>贾贽骏  市住房城乡建设局局长</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仿宋_GB2312" w:eastAsia="仿宋_GB2312"/>
          <w:sz w:val="24"/>
          <w:szCs w:val="24"/>
        </w:rPr>
      </w:pPr>
      <w:r>
        <w:rPr>
          <w:rFonts w:hint="eastAsia" w:ascii="仿宋_GB2312" w:eastAsia="仿宋_GB2312"/>
          <w:sz w:val="24"/>
          <w:szCs w:val="24"/>
        </w:rPr>
        <w:t>成  员：</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仿宋_GB2312" w:eastAsia="仿宋_GB2312"/>
          <w:sz w:val="24"/>
          <w:szCs w:val="24"/>
        </w:rPr>
      </w:pPr>
      <w:r>
        <w:rPr>
          <w:rFonts w:hint="eastAsia" w:ascii="仿宋_GB2312" w:eastAsia="仿宋_GB2312"/>
          <w:sz w:val="24"/>
          <w:szCs w:val="24"/>
        </w:rPr>
        <w:t>王旭峰  市委办公室副主任、</w:t>
      </w:r>
    </w:p>
    <w:p>
      <w:pPr>
        <w:keepNext w:val="0"/>
        <w:keepLines w:val="0"/>
        <w:pageBreakBefore w:val="0"/>
        <w:widowControl w:val="0"/>
        <w:kinsoku/>
        <w:wordWrap/>
        <w:overflowPunct/>
        <w:topLinePunct w:val="0"/>
        <w:autoSpaceDE/>
        <w:autoSpaceDN/>
        <w:bidi w:val="0"/>
        <w:adjustRightInd/>
        <w:snapToGrid w:val="0"/>
        <w:spacing w:line="500" w:lineRule="exact"/>
        <w:ind w:firstLine="1440" w:firstLineChars="600"/>
        <w:textAlignment w:val="auto"/>
        <w:rPr>
          <w:rFonts w:hint="eastAsia" w:ascii="仿宋_GB2312" w:eastAsia="仿宋_GB2312"/>
          <w:sz w:val="24"/>
          <w:szCs w:val="24"/>
        </w:rPr>
      </w:pPr>
      <w:r>
        <w:rPr>
          <w:rFonts w:hint="eastAsia" w:ascii="仿宋_GB2312" w:eastAsia="仿宋_GB2312"/>
          <w:sz w:val="24"/>
          <w:szCs w:val="24"/>
        </w:rPr>
        <w:t>市信访局局长</w:t>
      </w:r>
    </w:p>
    <w:p>
      <w:pPr>
        <w:keepNext w:val="0"/>
        <w:keepLines w:val="0"/>
        <w:pageBreakBefore w:val="0"/>
        <w:widowControl w:val="0"/>
        <w:kinsoku/>
        <w:wordWrap/>
        <w:overflowPunct/>
        <w:topLinePunct w:val="0"/>
        <w:autoSpaceDE/>
        <w:autoSpaceDN/>
        <w:bidi w:val="0"/>
        <w:adjustRightInd/>
        <w:snapToGrid w:val="0"/>
        <w:spacing w:line="500" w:lineRule="exact"/>
        <w:textAlignment w:val="auto"/>
        <w:rPr>
          <w:rFonts w:hint="eastAsia" w:ascii="仿宋_GB2312" w:eastAsia="仿宋_GB2312"/>
          <w:sz w:val="24"/>
          <w:szCs w:val="24"/>
        </w:rPr>
      </w:pPr>
      <w:r>
        <w:rPr>
          <w:rFonts w:hint="eastAsia" w:ascii="仿宋_GB2312" w:eastAsia="仿宋_GB2312"/>
          <w:sz w:val="24"/>
          <w:szCs w:val="24"/>
        </w:rPr>
        <w:t>刘毅斌  市政府办公室副主任、</w:t>
      </w:r>
    </w:p>
    <w:p>
      <w:pPr>
        <w:keepNext w:val="0"/>
        <w:keepLines w:val="0"/>
        <w:pageBreakBefore w:val="0"/>
        <w:widowControl w:val="0"/>
        <w:kinsoku/>
        <w:wordWrap/>
        <w:overflowPunct/>
        <w:topLinePunct w:val="0"/>
        <w:autoSpaceDE/>
        <w:autoSpaceDN/>
        <w:bidi w:val="0"/>
        <w:adjustRightInd/>
        <w:snapToGrid w:val="0"/>
        <w:spacing w:line="500" w:lineRule="exact"/>
        <w:ind w:firstLine="1440" w:firstLineChars="600"/>
        <w:textAlignment w:val="auto"/>
        <w:rPr>
          <w:rFonts w:hint="eastAsia" w:ascii="仿宋_GB2312" w:eastAsia="仿宋_GB2312"/>
          <w:sz w:val="24"/>
          <w:szCs w:val="24"/>
        </w:rPr>
      </w:pPr>
      <w:r>
        <w:rPr>
          <w:rFonts w:hint="eastAsia" w:ascii="仿宋_GB2312" w:eastAsia="仿宋_GB2312"/>
          <w:sz w:val="24"/>
          <w:szCs w:val="24"/>
        </w:rPr>
        <w:t>市行政审批局局长</w:t>
      </w:r>
    </w:p>
    <w:p>
      <w:pPr>
        <w:keepNext w:val="0"/>
        <w:keepLines w:val="0"/>
        <w:pageBreakBefore w:val="0"/>
        <w:widowControl w:val="0"/>
        <w:kinsoku/>
        <w:wordWrap/>
        <w:overflowPunct/>
        <w:topLinePunct w:val="0"/>
        <w:autoSpaceDE/>
        <w:autoSpaceDN/>
        <w:bidi w:val="0"/>
        <w:adjustRightInd/>
        <w:snapToGrid w:val="0"/>
        <w:spacing w:line="500" w:lineRule="exact"/>
        <w:textAlignment w:val="auto"/>
        <w:rPr>
          <w:rFonts w:hint="eastAsia" w:ascii="仿宋_GB2312" w:eastAsia="仿宋_GB2312"/>
          <w:sz w:val="24"/>
          <w:szCs w:val="24"/>
        </w:rPr>
      </w:pPr>
      <w:r>
        <w:rPr>
          <w:rFonts w:hint="eastAsia" w:ascii="仿宋_GB2312" w:eastAsia="仿宋_GB2312"/>
          <w:sz w:val="24"/>
          <w:szCs w:val="24"/>
        </w:rPr>
        <w:t>郭景田  市发展改革局局长</w:t>
      </w:r>
    </w:p>
    <w:p>
      <w:pPr>
        <w:keepNext w:val="0"/>
        <w:keepLines w:val="0"/>
        <w:pageBreakBefore w:val="0"/>
        <w:widowControl w:val="0"/>
        <w:kinsoku/>
        <w:wordWrap/>
        <w:overflowPunct/>
        <w:topLinePunct w:val="0"/>
        <w:autoSpaceDE/>
        <w:autoSpaceDN/>
        <w:bidi w:val="0"/>
        <w:adjustRightInd/>
        <w:snapToGrid w:val="0"/>
        <w:spacing w:line="500" w:lineRule="exact"/>
        <w:textAlignment w:val="auto"/>
        <w:rPr>
          <w:rFonts w:hint="eastAsia" w:ascii="仿宋_GB2312" w:eastAsia="仿宋_GB2312"/>
          <w:sz w:val="24"/>
          <w:szCs w:val="24"/>
        </w:rPr>
      </w:pPr>
      <w:r>
        <w:rPr>
          <w:rFonts w:hint="eastAsia" w:ascii="仿宋_GB2312" w:eastAsia="仿宋_GB2312"/>
          <w:sz w:val="24"/>
          <w:szCs w:val="24"/>
        </w:rPr>
        <w:t>刘永顺  市教科局局长</w:t>
      </w:r>
    </w:p>
    <w:p>
      <w:pPr>
        <w:keepNext w:val="0"/>
        <w:keepLines w:val="0"/>
        <w:pageBreakBefore w:val="0"/>
        <w:widowControl w:val="0"/>
        <w:kinsoku/>
        <w:wordWrap/>
        <w:overflowPunct/>
        <w:topLinePunct w:val="0"/>
        <w:autoSpaceDE/>
        <w:autoSpaceDN/>
        <w:bidi w:val="0"/>
        <w:adjustRightInd/>
        <w:snapToGrid w:val="0"/>
        <w:spacing w:line="500" w:lineRule="exact"/>
        <w:textAlignment w:val="auto"/>
        <w:rPr>
          <w:rFonts w:hint="eastAsia" w:ascii="仿宋_GB2312" w:eastAsia="仿宋_GB2312"/>
          <w:sz w:val="24"/>
          <w:szCs w:val="24"/>
        </w:rPr>
      </w:pPr>
      <w:r>
        <w:rPr>
          <w:rFonts w:hint="eastAsia" w:ascii="仿宋_GB2312" w:eastAsia="仿宋_GB2312"/>
          <w:sz w:val="24"/>
          <w:szCs w:val="24"/>
        </w:rPr>
        <w:t>赵建荣  市工信局局长</w:t>
      </w:r>
    </w:p>
    <w:p>
      <w:pPr>
        <w:keepNext w:val="0"/>
        <w:keepLines w:val="0"/>
        <w:pageBreakBefore w:val="0"/>
        <w:widowControl w:val="0"/>
        <w:kinsoku/>
        <w:wordWrap/>
        <w:overflowPunct/>
        <w:topLinePunct w:val="0"/>
        <w:autoSpaceDE/>
        <w:autoSpaceDN/>
        <w:bidi w:val="0"/>
        <w:adjustRightInd/>
        <w:snapToGrid w:val="0"/>
        <w:spacing w:line="500" w:lineRule="exact"/>
        <w:textAlignment w:val="auto"/>
        <w:rPr>
          <w:rFonts w:hint="eastAsia" w:ascii="仿宋_GB2312" w:eastAsia="仿宋_GB2312"/>
          <w:sz w:val="24"/>
          <w:szCs w:val="24"/>
        </w:rPr>
      </w:pPr>
      <w:r>
        <w:rPr>
          <w:rFonts w:hint="eastAsia" w:ascii="仿宋_GB2312" w:eastAsia="仿宋_GB2312"/>
          <w:sz w:val="24"/>
          <w:szCs w:val="24"/>
        </w:rPr>
        <w:t>申保华  市公安局政委</w:t>
      </w:r>
    </w:p>
    <w:p>
      <w:pPr>
        <w:keepNext w:val="0"/>
        <w:keepLines w:val="0"/>
        <w:pageBreakBefore w:val="0"/>
        <w:widowControl w:val="0"/>
        <w:kinsoku/>
        <w:wordWrap/>
        <w:overflowPunct/>
        <w:topLinePunct w:val="0"/>
        <w:autoSpaceDE/>
        <w:autoSpaceDN/>
        <w:bidi w:val="0"/>
        <w:adjustRightInd/>
        <w:snapToGrid w:val="0"/>
        <w:spacing w:line="500" w:lineRule="exact"/>
        <w:textAlignment w:val="auto"/>
        <w:rPr>
          <w:rFonts w:hint="eastAsia" w:ascii="仿宋_GB2312" w:eastAsia="仿宋_GB2312"/>
          <w:sz w:val="24"/>
          <w:szCs w:val="24"/>
        </w:rPr>
      </w:pPr>
      <w:r>
        <w:rPr>
          <w:rFonts w:hint="eastAsia" w:ascii="仿宋_GB2312" w:eastAsia="仿宋_GB2312"/>
          <w:sz w:val="24"/>
          <w:szCs w:val="24"/>
        </w:rPr>
        <w:t>辛自为  市民政局局长</w:t>
      </w:r>
    </w:p>
    <w:p>
      <w:pPr>
        <w:keepNext w:val="0"/>
        <w:keepLines w:val="0"/>
        <w:pageBreakBefore w:val="0"/>
        <w:widowControl w:val="0"/>
        <w:kinsoku/>
        <w:wordWrap/>
        <w:overflowPunct/>
        <w:topLinePunct w:val="0"/>
        <w:autoSpaceDE/>
        <w:autoSpaceDN/>
        <w:bidi w:val="0"/>
        <w:adjustRightInd/>
        <w:snapToGrid w:val="0"/>
        <w:spacing w:line="500" w:lineRule="exact"/>
        <w:textAlignment w:val="auto"/>
        <w:rPr>
          <w:rFonts w:hint="eastAsia" w:ascii="仿宋_GB2312" w:eastAsia="仿宋_GB2312"/>
          <w:sz w:val="24"/>
          <w:szCs w:val="24"/>
        </w:rPr>
      </w:pPr>
      <w:r>
        <w:rPr>
          <w:rFonts w:hint="eastAsia" w:ascii="仿宋_GB2312" w:eastAsia="仿宋_GB2312"/>
          <w:sz w:val="24"/>
          <w:szCs w:val="24"/>
        </w:rPr>
        <w:t>曾  倩  市司法局局长</w:t>
      </w:r>
    </w:p>
    <w:p>
      <w:pPr>
        <w:keepNext w:val="0"/>
        <w:keepLines w:val="0"/>
        <w:pageBreakBefore w:val="0"/>
        <w:widowControl w:val="0"/>
        <w:kinsoku/>
        <w:wordWrap/>
        <w:overflowPunct/>
        <w:topLinePunct w:val="0"/>
        <w:autoSpaceDE/>
        <w:autoSpaceDN/>
        <w:bidi w:val="0"/>
        <w:adjustRightInd/>
        <w:snapToGrid w:val="0"/>
        <w:spacing w:line="500" w:lineRule="exact"/>
        <w:textAlignment w:val="auto"/>
        <w:rPr>
          <w:rFonts w:hint="eastAsia" w:ascii="仿宋_GB2312" w:eastAsia="仿宋_GB2312"/>
          <w:sz w:val="24"/>
          <w:szCs w:val="24"/>
        </w:rPr>
      </w:pPr>
      <w:r>
        <w:rPr>
          <w:rFonts w:hint="eastAsia" w:ascii="仿宋_GB2312" w:eastAsia="仿宋_GB2312"/>
          <w:sz w:val="24"/>
          <w:szCs w:val="24"/>
        </w:rPr>
        <w:t>张国强  市人社局局长</w:t>
      </w:r>
    </w:p>
    <w:p>
      <w:pPr>
        <w:keepNext w:val="0"/>
        <w:keepLines w:val="0"/>
        <w:pageBreakBefore w:val="0"/>
        <w:widowControl w:val="0"/>
        <w:kinsoku/>
        <w:wordWrap/>
        <w:overflowPunct/>
        <w:topLinePunct w:val="0"/>
        <w:autoSpaceDE/>
        <w:autoSpaceDN/>
        <w:bidi w:val="0"/>
        <w:adjustRightInd/>
        <w:snapToGrid w:val="0"/>
        <w:spacing w:line="500" w:lineRule="exact"/>
        <w:textAlignment w:val="auto"/>
        <w:rPr>
          <w:rFonts w:hint="eastAsia" w:ascii="仿宋_GB2312" w:eastAsia="仿宋_GB2312"/>
          <w:sz w:val="24"/>
          <w:szCs w:val="24"/>
        </w:rPr>
      </w:pPr>
      <w:r>
        <w:rPr>
          <w:rFonts w:hint="eastAsia" w:ascii="仿宋_GB2312" w:eastAsia="仿宋_GB2312"/>
          <w:sz w:val="24"/>
          <w:szCs w:val="24"/>
        </w:rPr>
        <w:t>王志胜  市自然资源局局长</w:t>
      </w:r>
    </w:p>
    <w:p>
      <w:pPr>
        <w:keepNext w:val="0"/>
        <w:keepLines w:val="0"/>
        <w:pageBreakBefore w:val="0"/>
        <w:widowControl w:val="0"/>
        <w:kinsoku/>
        <w:wordWrap/>
        <w:overflowPunct/>
        <w:topLinePunct w:val="0"/>
        <w:autoSpaceDE/>
        <w:autoSpaceDN/>
        <w:bidi w:val="0"/>
        <w:adjustRightInd/>
        <w:snapToGrid w:val="0"/>
        <w:spacing w:line="500" w:lineRule="exact"/>
        <w:textAlignment w:val="auto"/>
        <w:rPr>
          <w:rFonts w:hint="eastAsia" w:ascii="仿宋_GB2312" w:eastAsia="仿宋_GB2312"/>
          <w:sz w:val="24"/>
          <w:szCs w:val="24"/>
        </w:rPr>
      </w:pPr>
      <w:r>
        <w:rPr>
          <w:rFonts w:hint="eastAsia" w:ascii="仿宋_GB2312" w:eastAsia="仿宋_GB2312"/>
          <w:sz w:val="24"/>
          <w:szCs w:val="24"/>
        </w:rPr>
        <w:t>刘海生  市农业农村局局长</w:t>
      </w:r>
    </w:p>
    <w:p>
      <w:pPr>
        <w:keepNext w:val="0"/>
        <w:keepLines w:val="0"/>
        <w:pageBreakBefore w:val="0"/>
        <w:widowControl w:val="0"/>
        <w:kinsoku/>
        <w:wordWrap/>
        <w:overflowPunct/>
        <w:topLinePunct w:val="0"/>
        <w:autoSpaceDE/>
        <w:autoSpaceDN/>
        <w:bidi w:val="0"/>
        <w:adjustRightInd/>
        <w:snapToGrid w:val="0"/>
        <w:spacing w:line="500" w:lineRule="exact"/>
        <w:textAlignment w:val="auto"/>
        <w:rPr>
          <w:rFonts w:hint="eastAsia" w:ascii="仿宋_GB2312" w:eastAsia="仿宋_GB2312"/>
          <w:sz w:val="24"/>
          <w:szCs w:val="24"/>
        </w:rPr>
      </w:pPr>
      <w:r>
        <w:rPr>
          <w:rFonts w:hint="eastAsia" w:ascii="仿宋_GB2312" w:eastAsia="仿宋_GB2312"/>
          <w:sz w:val="24"/>
          <w:szCs w:val="24"/>
        </w:rPr>
        <w:t>郝治国  市林业局局长</w:t>
      </w:r>
    </w:p>
    <w:p>
      <w:pPr>
        <w:keepNext w:val="0"/>
        <w:keepLines w:val="0"/>
        <w:pageBreakBefore w:val="0"/>
        <w:widowControl w:val="0"/>
        <w:kinsoku/>
        <w:wordWrap/>
        <w:overflowPunct/>
        <w:topLinePunct w:val="0"/>
        <w:autoSpaceDE/>
        <w:autoSpaceDN/>
        <w:bidi w:val="0"/>
        <w:adjustRightInd/>
        <w:snapToGrid w:val="0"/>
        <w:spacing w:line="500" w:lineRule="exact"/>
        <w:textAlignment w:val="auto"/>
        <w:rPr>
          <w:rFonts w:hint="eastAsia" w:ascii="仿宋_GB2312" w:eastAsia="仿宋_GB2312"/>
          <w:sz w:val="24"/>
          <w:szCs w:val="24"/>
        </w:rPr>
      </w:pPr>
      <w:r>
        <w:rPr>
          <w:rFonts w:hint="eastAsia" w:ascii="仿宋_GB2312" w:eastAsia="仿宋_GB2312"/>
          <w:sz w:val="24"/>
          <w:szCs w:val="24"/>
        </w:rPr>
        <w:t>陈建瑞  市商务局局长</w:t>
      </w:r>
    </w:p>
    <w:p>
      <w:pPr>
        <w:keepNext w:val="0"/>
        <w:keepLines w:val="0"/>
        <w:pageBreakBefore w:val="0"/>
        <w:widowControl w:val="0"/>
        <w:kinsoku/>
        <w:wordWrap/>
        <w:overflowPunct/>
        <w:topLinePunct w:val="0"/>
        <w:autoSpaceDE/>
        <w:autoSpaceDN/>
        <w:bidi w:val="0"/>
        <w:adjustRightInd/>
        <w:snapToGrid w:val="0"/>
        <w:spacing w:line="500" w:lineRule="exact"/>
        <w:textAlignment w:val="auto"/>
        <w:rPr>
          <w:rFonts w:hint="eastAsia" w:ascii="仿宋_GB2312" w:eastAsia="仿宋_GB2312"/>
          <w:sz w:val="24"/>
          <w:szCs w:val="24"/>
        </w:rPr>
      </w:pPr>
      <w:r>
        <w:rPr>
          <w:rFonts w:hint="eastAsia" w:ascii="仿宋_GB2312" w:eastAsia="仿宋_GB2312"/>
          <w:sz w:val="24"/>
          <w:szCs w:val="24"/>
        </w:rPr>
        <w:t>刘海云  市文化和旅游局局长</w:t>
      </w:r>
    </w:p>
    <w:p>
      <w:pPr>
        <w:keepNext w:val="0"/>
        <w:keepLines w:val="0"/>
        <w:pageBreakBefore w:val="0"/>
        <w:widowControl w:val="0"/>
        <w:kinsoku/>
        <w:wordWrap/>
        <w:overflowPunct/>
        <w:topLinePunct w:val="0"/>
        <w:autoSpaceDE/>
        <w:autoSpaceDN/>
        <w:bidi w:val="0"/>
        <w:adjustRightInd/>
        <w:snapToGrid w:val="0"/>
        <w:spacing w:line="500" w:lineRule="exact"/>
        <w:textAlignment w:val="auto"/>
        <w:rPr>
          <w:rFonts w:hint="eastAsia" w:ascii="仿宋_GB2312" w:eastAsia="仿宋_GB2312"/>
          <w:sz w:val="24"/>
          <w:szCs w:val="24"/>
        </w:rPr>
      </w:pPr>
      <w:r>
        <w:rPr>
          <w:rFonts w:hint="eastAsia" w:ascii="仿宋_GB2312" w:eastAsia="仿宋_GB2312"/>
          <w:sz w:val="24"/>
          <w:szCs w:val="24"/>
        </w:rPr>
        <w:t>聂皇卿  市卫生健康和体育局局长</w:t>
      </w:r>
    </w:p>
    <w:p>
      <w:pPr>
        <w:keepNext w:val="0"/>
        <w:keepLines w:val="0"/>
        <w:pageBreakBefore w:val="0"/>
        <w:widowControl w:val="0"/>
        <w:kinsoku/>
        <w:wordWrap/>
        <w:overflowPunct/>
        <w:topLinePunct w:val="0"/>
        <w:autoSpaceDE/>
        <w:autoSpaceDN/>
        <w:bidi w:val="0"/>
        <w:adjustRightInd/>
        <w:snapToGrid w:val="0"/>
        <w:spacing w:line="500" w:lineRule="exact"/>
        <w:textAlignment w:val="auto"/>
        <w:rPr>
          <w:rFonts w:hint="eastAsia" w:ascii="仿宋_GB2312" w:eastAsia="仿宋_GB2312"/>
          <w:sz w:val="24"/>
          <w:szCs w:val="24"/>
        </w:rPr>
      </w:pPr>
      <w:r>
        <w:rPr>
          <w:rFonts w:hint="eastAsia" w:ascii="仿宋_GB2312" w:eastAsia="仿宋_GB2312"/>
          <w:sz w:val="24"/>
          <w:szCs w:val="24"/>
        </w:rPr>
        <w:t>郝树平  市应急局局长</w:t>
      </w:r>
    </w:p>
    <w:p>
      <w:pPr>
        <w:keepNext w:val="0"/>
        <w:keepLines w:val="0"/>
        <w:pageBreakBefore w:val="0"/>
        <w:widowControl w:val="0"/>
        <w:kinsoku/>
        <w:wordWrap/>
        <w:overflowPunct/>
        <w:topLinePunct w:val="0"/>
        <w:autoSpaceDE/>
        <w:autoSpaceDN/>
        <w:bidi w:val="0"/>
        <w:adjustRightInd/>
        <w:snapToGrid w:val="0"/>
        <w:spacing w:line="500" w:lineRule="exact"/>
        <w:textAlignment w:val="auto"/>
        <w:rPr>
          <w:rFonts w:hint="eastAsia" w:ascii="仿宋_GB2312" w:eastAsia="仿宋_GB2312"/>
          <w:sz w:val="24"/>
          <w:szCs w:val="24"/>
        </w:rPr>
      </w:pPr>
      <w:r>
        <w:rPr>
          <w:rFonts w:hint="eastAsia" w:ascii="仿宋_GB2312" w:eastAsia="仿宋_GB2312"/>
          <w:sz w:val="24"/>
          <w:szCs w:val="24"/>
        </w:rPr>
        <w:t>赵一初  市市场监管局局长</w:t>
      </w:r>
    </w:p>
    <w:p>
      <w:pPr>
        <w:keepNext w:val="0"/>
        <w:keepLines w:val="0"/>
        <w:pageBreakBefore w:val="0"/>
        <w:widowControl w:val="0"/>
        <w:kinsoku/>
        <w:wordWrap/>
        <w:overflowPunct/>
        <w:topLinePunct w:val="0"/>
        <w:autoSpaceDE/>
        <w:autoSpaceDN/>
        <w:bidi w:val="0"/>
        <w:adjustRightInd/>
        <w:snapToGrid w:val="0"/>
        <w:spacing w:line="500" w:lineRule="exact"/>
        <w:textAlignment w:val="auto"/>
        <w:rPr>
          <w:rFonts w:hint="eastAsia" w:ascii="仿宋_GB2312" w:eastAsia="仿宋_GB2312"/>
          <w:sz w:val="24"/>
          <w:szCs w:val="24"/>
        </w:rPr>
      </w:pPr>
      <w:r>
        <w:rPr>
          <w:rFonts w:hint="eastAsia" w:ascii="仿宋_GB2312" w:eastAsia="仿宋_GB2312"/>
          <w:sz w:val="24"/>
          <w:szCs w:val="24"/>
        </w:rPr>
        <w:t>赵海平  市能源局局长</w:t>
      </w:r>
    </w:p>
    <w:p>
      <w:pPr>
        <w:keepNext w:val="0"/>
        <w:keepLines w:val="0"/>
        <w:pageBreakBefore w:val="0"/>
        <w:widowControl w:val="0"/>
        <w:kinsoku/>
        <w:wordWrap/>
        <w:overflowPunct/>
        <w:topLinePunct w:val="0"/>
        <w:autoSpaceDE/>
        <w:autoSpaceDN/>
        <w:bidi w:val="0"/>
        <w:adjustRightInd/>
        <w:snapToGrid w:val="0"/>
        <w:spacing w:line="500" w:lineRule="exact"/>
        <w:textAlignment w:val="auto"/>
        <w:rPr>
          <w:rFonts w:hint="eastAsia" w:ascii="仿宋_GB2312" w:eastAsia="仿宋_GB2312"/>
          <w:sz w:val="24"/>
          <w:szCs w:val="24"/>
        </w:rPr>
      </w:pPr>
      <w:r>
        <w:rPr>
          <w:rFonts w:hint="eastAsia" w:ascii="仿宋_GB2312" w:eastAsia="仿宋_GB2312"/>
          <w:sz w:val="24"/>
          <w:szCs w:val="24"/>
        </w:rPr>
        <w:t>解建斌  市审计局负责人</w:t>
      </w:r>
    </w:p>
    <w:p>
      <w:pPr>
        <w:keepNext w:val="0"/>
        <w:keepLines w:val="0"/>
        <w:pageBreakBefore w:val="0"/>
        <w:widowControl w:val="0"/>
        <w:kinsoku/>
        <w:wordWrap/>
        <w:overflowPunct/>
        <w:topLinePunct w:val="0"/>
        <w:autoSpaceDE/>
        <w:autoSpaceDN/>
        <w:bidi w:val="0"/>
        <w:adjustRightInd/>
        <w:snapToGrid w:val="0"/>
        <w:spacing w:line="500" w:lineRule="exact"/>
        <w:textAlignment w:val="auto"/>
        <w:rPr>
          <w:rFonts w:hint="eastAsia" w:ascii="仿宋_GB2312" w:eastAsia="仿宋_GB2312"/>
          <w:sz w:val="24"/>
          <w:szCs w:val="24"/>
        </w:rPr>
      </w:pPr>
      <w:r>
        <w:rPr>
          <w:rFonts w:hint="eastAsia" w:ascii="仿宋_GB2312" w:eastAsia="仿宋_GB2312"/>
          <w:sz w:val="24"/>
          <w:szCs w:val="24"/>
        </w:rPr>
        <w:t>齐志平  市税务局局长</w:t>
      </w:r>
    </w:p>
    <w:p>
      <w:pPr>
        <w:keepNext w:val="0"/>
        <w:keepLines w:val="0"/>
        <w:pageBreakBefore w:val="0"/>
        <w:widowControl w:val="0"/>
        <w:kinsoku/>
        <w:wordWrap/>
        <w:overflowPunct/>
        <w:topLinePunct w:val="0"/>
        <w:autoSpaceDE/>
        <w:autoSpaceDN/>
        <w:bidi w:val="0"/>
        <w:adjustRightInd/>
        <w:snapToGrid w:val="0"/>
        <w:spacing w:line="500" w:lineRule="exact"/>
        <w:textAlignment w:val="auto"/>
        <w:rPr>
          <w:rFonts w:hint="eastAsia" w:ascii="仿宋_GB2312" w:eastAsia="仿宋_GB2312"/>
          <w:sz w:val="24"/>
          <w:szCs w:val="24"/>
        </w:rPr>
      </w:pPr>
      <w:r>
        <w:rPr>
          <w:rFonts w:hint="eastAsia" w:ascii="仿宋_GB2312" w:eastAsia="仿宋_GB2312"/>
          <w:sz w:val="24"/>
          <w:szCs w:val="24"/>
        </w:rPr>
        <w:t>张立柱  忻州市生态环境局</w:t>
      </w:r>
    </w:p>
    <w:p>
      <w:pPr>
        <w:keepNext w:val="0"/>
        <w:keepLines w:val="0"/>
        <w:pageBreakBefore w:val="0"/>
        <w:widowControl w:val="0"/>
        <w:kinsoku/>
        <w:wordWrap/>
        <w:overflowPunct/>
        <w:topLinePunct w:val="0"/>
        <w:autoSpaceDE/>
        <w:autoSpaceDN/>
        <w:bidi w:val="0"/>
        <w:adjustRightInd/>
        <w:snapToGrid w:val="0"/>
        <w:spacing w:line="500" w:lineRule="exact"/>
        <w:ind w:firstLine="1440" w:firstLineChars="600"/>
        <w:textAlignment w:val="auto"/>
        <w:rPr>
          <w:rFonts w:hint="eastAsia" w:ascii="仿宋_GB2312" w:eastAsia="仿宋_GB2312"/>
          <w:sz w:val="24"/>
          <w:szCs w:val="24"/>
        </w:rPr>
      </w:pPr>
      <w:r>
        <w:rPr>
          <w:rFonts w:hint="eastAsia" w:ascii="仿宋_GB2312" w:eastAsia="仿宋_GB2312"/>
          <w:sz w:val="24"/>
          <w:szCs w:val="24"/>
        </w:rPr>
        <w:t xml:space="preserve">原平分局局长 </w:t>
      </w:r>
    </w:p>
    <w:p>
      <w:pPr>
        <w:keepNext w:val="0"/>
        <w:keepLines w:val="0"/>
        <w:pageBreakBefore w:val="0"/>
        <w:widowControl w:val="0"/>
        <w:kinsoku/>
        <w:wordWrap/>
        <w:overflowPunct/>
        <w:topLinePunct w:val="0"/>
        <w:autoSpaceDE/>
        <w:autoSpaceDN/>
        <w:bidi w:val="0"/>
        <w:adjustRightInd/>
        <w:snapToGrid w:val="0"/>
        <w:spacing w:line="500" w:lineRule="exact"/>
        <w:textAlignment w:val="auto"/>
        <w:rPr>
          <w:rFonts w:hint="eastAsia" w:ascii="仿宋_GB2312" w:eastAsia="仿宋_GB2312"/>
          <w:sz w:val="24"/>
          <w:szCs w:val="24"/>
        </w:rPr>
      </w:pPr>
      <w:r>
        <w:rPr>
          <w:rFonts w:hint="eastAsia" w:ascii="仿宋_GB2312" w:eastAsia="仿宋_GB2312"/>
          <w:sz w:val="24"/>
          <w:szCs w:val="24"/>
        </w:rPr>
        <w:t>弓春霞  市财政局副局长</w:t>
      </w:r>
    </w:p>
    <w:p>
      <w:pPr>
        <w:keepNext w:val="0"/>
        <w:keepLines w:val="0"/>
        <w:pageBreakBefore w:val="0"/>
        <w:widowControl w:val="0"/>
        <w:kinsoku/>
        <w:wordWrap/>
        <w:overflowPunct/>
        <w:topLinePunct w:val="0"/>
        <w:autoSpaceDE/>
        <w:autoSpaceDN/>
        <w:bidi w:val="0"/>
        <w:adjustRightInd/>
        <w:snapToGrid w:val="0"/>
        <w:spacing w:line="500" w:lineRule="exact"/>
        <w:textAlignment w:val="auto"/>
        <w:rPr>
          <w:rFonts w:hint="eastAsia" w:ascii="仿宋_GB2312" w:eastAsia="仿宋_GB2312"/>
          <w:sz w:val="24"/>
          <w:szCs w:val="24"/>
        </w:rPr>
      </w:pPr>
      <w:r>
        <w:rPr>
          <w:rFonts w:hint="eastAsia" w:ascii="仿宋_GB2312" w:eastAsia="仿宋_GB2312"/>
          <w:sz w:val="24"/>
          <w:szCs w:val="24"/>
        </w:rPr>
        <w:t>李宇晓  市消防救援大队大队长</w:t>
      </w:r>
    </w:p>
    <w:p>
      <w:pPr>
        <w:keepNext w:val="0"/>
        <w:keepLines w:val="0"/>
        <w:pageBreakBefore w:val="0"/>
        <w:widowControl w:val="0"/>
        <w:kinsoku/>
        <w:wordWrap/>
        <w:overflowPunct/>
        <w:topLinePunct w:val="0"/>
        <w:autoSpaceDE/>
        <w:autoSpaceDN/>
        <w:bidi w:val="0"/>
        <w:adjustRightInd/>
        <w:snapToGrid w:val="0"/>
        <w:spacing w:line="500" w:lineRule="exact"/>
        <w:textAlignment w:val="auto"/>
        <w:rPr>
          <w:rFonts w:hint="eastAsia" w:ascii="仿宋_GB2312" w:eastAsia="仿宋_GB2312"/>
          <w:sz w:val="24"/>
          <w:szCs w:val="24"/>
        </w:rPr>
      </w:pPr>
      <w:r>
        <w:rPr>
          <w:rFonts w:hint="eastAsia" w:ascii="仿宋_GB2312" w:eastAsia="仿宋_GB2312"/>
          <w:sz w:val="24"/>
          <w:szCs w:val="24"/>
        </w:rPr>
        <w:t>张晋荣  市融媒体中心主任</w:t>
      </w:r>
    </w:p>
    <w:p>
      <w:pPr>
        <w:keepNext w:val="0"/>
        <w:keepLines w:val="0"/>
        <w:pageBreakBefore w:val="0"/>
        <w:widowControl w:val="0"/>
        <w:kinsoku/>
        <w:wordWrap/>
        <w:overflowPunct/>
        <w:topLinePunct w:val="0"/>
        <w:autoSpaceDE/>
        <w:autoSpaceDN/>
        <w:bidi w:val="0"/>
        <w:adjustRightInd/>
        <w:snapToGrid w:val="0"/>
        <w:spacing w:line="500" w:lineRule="exact"/>
        <w:textAlignment w:val="auto"/>
        <w:rPr>
          <w:rFonts w:hint="eastAsia" w:ascii="仿宋_GB2312" w:eastAsia="仿宋_GB2312"/>
          <w:sz w:val="24"/>
          <w:szCs w:val="24"/>
        </w:rPr>
      </w:pPr>
      <w:r>
        <w:rPr>
          <w:rFonts w:hint="eastAsia" w:ascii="仿宋_GB2312" w:eastAsia="仿宋_GB2312"/>
          <w:sz w:val="24"/>
          <w:szCs w:val="24"/>
        </w:rPr>
        <w:t>靳新元  南城街道办事处主任</w:t>
      </w:r>
    </w:p>
    <w:p>
      <w:pPr>
        <w:keepNext w:val="0"/>
        <w:keepLines w:val="0"/>
        <w:pageBreakBefore w:val="0"/>
        <w:widowControl w:val="0"/>
        <w:kinsoku/>
        <w:wordWrap/>
        <w:overflowPunct/>
        <w:topLinePunct w:val="0"/>
        <w:autoSpaceDE/>
        <w:autoSpaceDN/>
        <w:bidi w:val="0"/>
        <w:adjustRightInd/>
        <w:snapToGrid w:val="0"/>
        <w:spacing w:line="500" w:lineRule="exact"/>
        <w:textAlignment w:val="auto"/>
        <w:rPr>
          <w:rFonts w:hint="eastAsia" w:ascii="仿宋_GB2312" w:eastAsia="仿宋_GB2312"/>
          <w:sz w:val="24"/>
          <w:szCs w:val="24"/>
        </w:rPr>
      </w:pPr>
      <w:r>
        <w:rPr>
          <w:rFonts w:hint="eastAsia" w:ascii="仿宋_GB2312" w:eastAsia="仿宋_GB2312"/>
          <w:sz w:val="24"/>
          <w:szCs w:val="24"/>
        </w:rPr>
        <w:t>岳赛文  北城街道办事处主任</w:t>
      </w:r>
    </w:p>
    <w:p>
      <w:pPr>
        <w:keepNext w:val="0"/>
        <w:keepLines w:val="0"/>
        <w:pageBreakBefore w:val="0"/>
        <w:widowControl w:val="0"/>
        <w:kinsoku/>
        <w:wordWrap/>
        <w:overflowPunct/>
        <w:topLinePunct w:val="0"/>
        <w:autoSpaceDE/>
        <w:autoSpaceDN/>
        <w:bidi w:val="0"/>
        <w:adjustRightInd/>
        <w:snapToGrid w:val="0"/>
        <w:spacing w:line="500" w:lineRule="exact"/>
        <w:textAlignment w:val="auto"/>
        <w:rPr>
          <w:rFonts w:hint="eastAsia" w:ascii="仿宋_GB2312" w:eastAsia="仿宋_GB2312"/>
          <w:sz w:val="24"/>
          <w:szCs w:val="24"/>
        </w:rPr>
      </w:pPr>
      <w:r>
        <w:rPr>
          <w:rFonts w:hint="eastAsia" w:ascii="仿宋_GB2312" w:eastAsia="仿宋_GB2312"/>
          <w:sz w:val="24"/>
          <w:szCs w:val="24"/>
        </w:rPr>
        <w:t>裴  泽  新原街道办事处主任</w:t>
      </w:r>
    </w:p>
    <w:p>
      <w:pPr>
        <w:keepNext w:val="0"/>
        <w:keepLines w:val="0"/>
        <w:pageBreakBefore w:val="0"/>
        <w:widowControl w:val="0"/>
        <w:kinsoku/>
        <w:wordWrap/>
        <w:overflowPunct/>
        <w:topLinePunct w:val="0"/>
        <w:autoSpaceDE/>
        <w:autoSpaceDN/>
        <w:bidi w:val="0"/>
        <w:adjustRightInd/>
        <w:snapToGrid w:val="0"/>
        <w:spacing w:line="500" w:lineRule="exact"/>
        <w:textAlignment w:val="auto"/>
        <w:rPr>
          <w:rFonts w:hint="eastAsia" w:ascii="仿宋_GB2312" w:eastAsia="仿宋_GB2312"/>
          <w:sz w:val="24"/>
          <w:szCs w:val="24"/>
        </w:rPr>
      </w:pPr>
      <w:r>
        <w:rPr>
          <w:rFonts w:hint="eastAsia" w:ascii="仿宋_GB2312" w:eastAsia="仿宋_GB2312"/>
          <w:sz w:val="24"/>
          <w:szCs w:val="24"/>
        </w:rPr>
        <w:t>辛晓勤  吉祥街道办事处主任</w:t>
      </w:r>
    </w:p>
    <w:p>
      <w:pPr>
        <w:keepNext w:val="0"/>
        <w:keepLines w:val="0"/>
        <w:pageBreakBefore w:val="0"/>
        <w:widowControl w:val="0"/>
        <w:kinsoku/>
        <w:wordWrap/>
        <w:overflowPunct/>
        <w:topLinePunct w:val="0"/>
        <w:autoSpaceDE/>
        <w:autoSpaceDN/>
        <w:bidi w:val="0"/>
        <w:adjustRightInd/>
        <w:snapToGrid w:val="0"/>
        <w:spacing w:line="500" w:lineRule="exact"/>
        <w:textAlignment w:val="auto"/>
        <w:rPr>
          <w:rFonts w:hint="eastAsia" w:ascii="仿宋_GB2312" w:eastAsia="仿宋_GB2312"/>
          <w:sz w:val="24"/>
          <w:szCs w:val="24"/>
        </w:rPr>
      </w:pPr>
      <w:r>
        <w:rPr>
          <w:rFonts w:hint="eastAsia" w:ascii="仿宋_GB2312" w:eastAsia="仿宋_GB2312"/>
          <w:sz w:val="24"/>
          <w:szCs w:val="24"/>
        </w:rPr>
        <w:t>白秀林  人民银行原平市支行行长</w:t>
      </w:r>
    </w:p>
    <w:p>
      <w:pPr>
        <w:keepNext w:val="0"/>
        <w:keepLines w:val="0"/>
        <w:pageBreakBefore w:val="0"/>
        <w:widowControl w:val="0"/>
        <w:kinsoku/>
        <w:wordWrap/>
        <w:overflowPunct/>
        <w:topLinePunct w:val="0"/>
        <w:autoSpaceDE/>
        <w:autoSpaceDN/>
        <w:bidi w:val="0"/>
        <w:adjustRightInd/>
        <w:snapToGrid w:val="0"/>
        <w:spacing w:line="500" w:lineRule="exact"/>
        <w:textAlignment w:val="auto"/>
        <w:rPr>
          <w:rFonts w:hint="eastAsia" w:ascii="仿宋_GB2312" w:eastAsia="仿宋_GB2312"/>
          <w:sz w:val="24"/>
          <w:szCs w:val="24"/>
        </w:rPr>
      </w:pPr>
      <w:r>
        <w:rPr>
          <w:rFonts w:hint="eastAsia" w:ascii="仿宋_GB2312" w:eastAsia="仿宋_GB2312"/>
          <w:sz w:val="24"/>
          <w:szCs w:val="24"/>
        </w:rPr>
        <w:t>李永青  原平银保监组组长</w:t>
      </w:r>
    </w:p>
    <w:p>
      <w:pPr>
        <w:keepNext w:val="0"/>
        <w:keepLines w:val="0"/>
        <w:pageBreakBefore w:val="0"/>
        <w:widowControl w:val="0"/>
        <w:kinsoku/>
        <w:wordWrap/>
        <w:overflowPunct/>
        <w:topLinePunct w:val="0"/>
        <w:autoSpaceDE/>
        <w:autoSpaceDN/>
        <w:bidi w:val="0"/>
        <w:adjustRightInd/>
        <w:snapToGrid w:val="0"/>
        <w:spacing w:line="500" w:lineRule="exact"/>
        <w:textAlignment w:val="auto"/>
        <w:rPr>
          <w:rFonts w:hint="eastAsia" w:ascii="仿宋_GB2312" w:eastAsia="仿宋_GB2312"/>
          <w:sz w:val="24"/>
          <w:szCs w:val="24"/>
        </w:rPr>
      </w:pPr>
      <w:r>
        <w:rPr>
          <w:rFonts w:hint="eastAsia" w:ascii="仿宋_GB2312" w:eastAsia="仿宋_GB2312"/>
          <w:sz w:val="24"/>
          <w:szCs w:val="24"/>
        </w:rPr>
        <w:t>樊全红  市住房城乡建设局副局长</w:t>
      </w:r>
    </w:p>
    <w:p>
      <w:pPr>
        <w:keepNext w:val="0"/>
        <w:keepLines w:val="0"/>
        <w:pageBreakBefore w:val="0"/>
        <w:widowControl w:val="0"/>
        <w:kinsoku/>
        <w:wordWrap/>
        <w:overflowPunct/>
        <w:topLinePunct w:val="0"/>
        <w:autoSpaceDE/>
        <w:autoSpaceDN/>
        <w:bidi w:val="0"/>
        <w:adjustRightInd/>
        <w:snapToGrid w:val="0"/>
        <w:spacing w:line="500" w:lineRule="exact"/>
        <w:textAlignment w:val="auto"/>
        <w:rPr>
          <w:rFonts w:hint="eastAsia" w:ascii="仿宋_GB2312" w:eastAsia="仿宋_GB2312"/>
          <w:sz w:val="24"/>
          <w:szCs w:val="24"/>
        </w:rPr>
      </w:pPr>
      <w:r>
        <w:rPr>
          <w:rFonts w:hint="eastAsia" w:ascii="仿宋_GB2312" w:eastAsia="仿宋_GB2312"/>
          <w:sz w:val="24"/>
          <w:szCs w:val="24"/>
        </w:rPr>
        <w:t xml:space="preserve">刘建新  </w:t>
      </w:r>
      <w:r>
        <w:rPr>
          <w:rFonts w:hint="eastAsia" w:ascii="仿宋_GB2312" w:eastAsia="仿宋_GB2312"/>
          <w:spacing w:val="-6"/>
          <w:sz w:val="24"/>
          <w:szCs w:val="24"/>
        </w:rPr>
        <w:t>市住房城乡建设局二级调研员</w:t>
      </w:r>
    </w:p>
    <w:p>
      <w:pPr>
        <w:keepNext w:val="0"/>
        <w:keepLines w:val="0"/>
        <w:pageBreakBefore w:val="0"/>
        <w:widowControl w:val="0"/>
        <w:kinsoku/>
        <w:wordWrap/>
        <w:overflowPunct/>
        <w:topLinePunct w:val="0"/>
        <w:autoSpaceDE/>
        <w:autoSpaceDN/>
        <w:bidi w:val="0"/>
        <w:adjustRightInd/>
        <w:snapToGrid w:val="0"/>
        <w:spacing w:line="500" w:lineRule="exact"/>
        <w:textAlignment w:val="auto"/>
        <w:rPr>
          <w:rFonts w:hint="eastAsia" w:ascii="仿宋_GB2312" w:eastAsia="仿宋_GB2312"/>
          <w:spacing w:val="6"/>
          <w:sz w:val="24"/>
          <w:szCs w:val="24"/>
        </w:rPr>
      </w:pPr>
      <w:r>
        <w:rPr>
          <w:rFonts w:hint="eastAsia" w:ascii="仿宋_GB2312" w:eastAsia="仿宋_GB2312"/>
          <w:sz w:val="24"/>
          <w:szCs w:val="24"/>
        </w:rPr>
        <w:t xml:space="preserve">赵晋文  </w:t>
      </w:r>
      <w:r>
        <w:rPr>
          <w:rFonts w:hint="eastAsia" w:ascii="仿宋_GB2312" w:eastAsia="仿宋_GB2312"/>
          <w:spacing w:val="6"/>
          <w:sz w:val="24"/>
          <w:szCs w:val="24"/>
        </w:rPr>
        <w:t>市住房城乡建设综合服务</w:t>
      </w:r>
    </w:p>
    <w:p>
      <w:pPr>
        <w:keepNext w:val="0"/>
        <w:keepLines w:val="0"/>
        <w:pageBreakBefore w:val="0"/>
        <w:widowControl w:val="0"/>
        <w:kinsoku/>
        <w:wordWrap/>
        <w:overflowPunct/>
        <w:topLinePunct w:val="0"/>
        <w:autoSpaceDE/>
        <w:autoSpaceDN/>
        <w:bidi w:val="0"/>
        <w:adjustRightInd/>
        <w:snapToGrid w:val="0"/>
        <w:spacing w:line="500" w:lineRule="exact"/>
        <w:ind w:firstLine="1440" w:firstLineChars="600"/>
        <w:textAlignment w:val="auto"/>
        <w:rPr>
          <w:rFonts w:hint="eastAsia" w:ascii="仿宋_GB2312" w:eastAsia="仿宋_GB2312"/>
          <w:sz w:val="24"/>
          <w:szCs w:val="24"/>
        </w:rPr>
      </w:pPr>
      <w:r>
        <w:rPr>
          <w:rFonts w:hint="eastAsia" w:ascii="仿宋_GB2312" w:eastAsia="仿宋_GB2312"/>
          <w:sz w:val="24"/>
          <w:szCs w:val="24"/>
        </w:rPr>
        <w:t>中心主任</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仿宋_GB2312" w:eastAsia="仿宋_GB2312"/>
          <w:sz w:val="24"/>
          <w:szCs w:val="24"/>
        </w:rPr>
      </w:pPr>
      <w:r>
        <w:rPr>
          <w:rFonts w:hint="eastAsia" w:ascii="仿宋_GB2312" w:eastAsia="仿宋_GB2312"/>
          <w:sz w:val="24"/>
          <w:szCs w:val="24"/>
        </w:rPr>
        <w:t>各乡（镇）负责人</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仿宋_GB2312" w:eastAsia="仿宋_GB2312"/>
          <w:sz w:val="24"/>
          <w:szCs w:val="24"/>
        </w:rPr>
      </w:pPr>
      <w:r>
        <w:rPr>
          <w:rFonts w:hint="eastAsia" w:ascii="仿宋_GB2312" w:eastAsia="仿宋_GB2312"/>
          <w:sz w:val="24"/>
          <w:szCs w:val="24"/>
        </w:rPr>
        <w:t>领导小组负责全市加强和改进住宅物业管理工作的开展，统筹协调和监督指导乡（镇、街道）和市直各相关职能部门按照各自职责分别做好相关工作；研究解决物业领域存在的突出问题；召开联席会议，研究处置物业领域重点难点问题和社会影响较大的公共事件。</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仿宋_GB2312" w:eastAsia="仿宋_GB2312"/>
          <w:sz w:val="24"/>
          <w:szCs w:val="24"/>
        </w:rPr>
      </w:pPr>
      <w:r>
        <w:rPr>
          <w:rFonts w:hint="eastAsia" w:ascii="仿宋_GB2312" w:eastAsia="仿宋_GB2312"/>
          <w:sz w:val="24"/>
          <w:szCs w:val="24"/>
        </w:rPr>
        <w:t>领导小组下设办公室，办公室设在市住房城乡建设局，负责领导小组日常工作，完善物业相关规章制度，督促各成员单位按照部门职责协调处理好物业方面的问题，将各职能部门和乡（镇、街道）反馈较为突出的矛盾纠纷、重大案件或特殊情况报领导组研究解决。办公室主任由贾贽骏同志兼任。</w:t>
      </w:r>
    </w:p>
    <w:p>
      <w:pPr>
        <w:keepNext w:val="0"/>
        <w:keepLines w:val="0"/>
        <w:pageBreakBefore w:val="0"/>
        <w:widowControl w:val="0"/>
        <w:kinsoku/>
        <w:wordWrap/>
        <w:overflowPunct/>
        <w:topLinePunct w:val="0"/>
        <w:autoSpaceDE/>
        <w:autoSpaceDN/>
        <w:bidi w:val="0"/>
        <w:adjustRightInd/>
        <w:snapToGrid w:val="0"/>
        <w:spacing w:line="500" w:lineRule="exact"/>
        <w:ind w:firstLine="520" w:firstLineChars="200"/>
        <w:textAlignment w:val="auto"/>
        <w:rPr>
          <w:rFonts w:hint="eastAsia" w:ascii="黑体" w:hAnsi="黑体" w:eastAsia="黑体"/>
          <w:sz w:val="26"/>
          <w:szCs w:val="26"/>
        </w:rPr>
      </w:pPr>
      <w:r>
        <w:rPr>
          <w:rFonts w:hint="eastAsia" w:ascii="黑体" w:hAnsi="黑体" w:eastAsia="黑体"/>
          <w:sz w:val="26"/>
          <w:szCs w:val="26"/>
        </w:rPr>
        <w:t>五、主要任务</w:t>
      </w:r>
    </w:p>
    <w:p>
      <w:pPr>
        <w:pStyle w:val="5"/>
        <w:bidi w:val="0"/>
        <w:rPr>
          <w:rFonts w:hint="eastAsia"/>
        </w:rPr>
      </w:pPr>
      <w:r>
        <w:rPr>
          <w:rFonts w:hint="eastAsia"/>
        </w:rPr>
        <w:t>（一）下沉管理服务，推进物业管理融入基层社会治理</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仿宋_GB2312" w:eastAsia="仿宋_GB2312"/>
          <w:sz w:val="24"/>
          <w:szCs w:val="24"/>
        </w:rPr>
      </w:pPr>
      <w:r>
        <w:rPr>
          <w:rFonts w:hint="eastAsia" w:ascii="仿宋_GB2312" w:eastAsia="仿宋_GB2312"/>
          <w:sz w:val="24"/>
          <w:szCs w:val="24"/>
        </w:rPr>
        <w:t>1、落实乡（镇、街道）主体责任。各乡（镇、街道）加强对辖区内物业管理活动的指导监督，指导住宅小区设立业主大会、选举业主委员会（以下简称“业委会”）、组建物业管理委员会（以下简称“物管会”），并办理备案手续；要监督业委会、物管会和物业服务企业履行职责，组织开展物业服务质量评价；建立业委会换届审计制度；审核维修资金使用申请，监管小区公共收益收支情况；指导物业承接查验，督促项目有序交接，监督物业服务企业规范管理和使用小区公共资产；建立健全居住社区综合治理工作制度，及时解决住宅物业管理重点难点问题和信访问题，促进物业管理矛盾纠纷就地化解。（责任单位：各乡（镇、街道）；指导单位：市住房城乡建设局、司法局、信访局、民政局、审计局）</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仿宋_GB2312" w:eastAsia="仿宋_GB2312"/>
          <w:sz w:val="24"/>
          <w:szCs w:val="24"/>
        </w:rPr>
      </w:pPr>
      <w:r>
        <w:rPr>
          <w:rFonts w:hint="eastAsia" w:ascii="仿宋_GB2312" w:eastAsia="仿宋_GB2312"/>
          <w:sz w:val="24"/>
          <w:szCs w:val="24"/>
        </w:rPr>
        <w:t>2、强化社区组织协调职能。社区要组织建立社区居委会、业委会（物管会）、物业服务企业共同参与的协调运行机制。协助解决物业管理问题，建立矛盾纠纷化解机制，调解矛盾纠纷；协助各乡（镇、街道）对业委会（物管会）履职情况、物业服务企业服务质量情况进行监督和考评。（责任单位：各乡（镇、街道）；指导单位：市民政局、住房城乡建设局）</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仿宋_GB2312" w:eastAsia="仿宋_GB2312"/>
          <w:sz w:val="24"/>
          <w:szCs w:val="24"/>
        </w:rPr>
      </w:pPr>
      <w:r>
        <w:rPr>
          <w:rFonts w:hint="eastAsia" w:ascii="仿宋_GB2312" w:eastAsia="仿宋_GB2312"/>
          <w:sz w:val="24"/>
          <w:szCs w:val="24"/>
        </w:rPr>
        <w:t>3、落实管理部门职责。市住房城乡建设局、自然资源局、公安局、市场监管局、市消防大队等单位要及时受理投诉举报，依据工作职责查处物业服务区域内违章搭建、违规饲养动物、擅自改变住宅性质、消防设施器材故障或损坏短缺、电动自行车违规停放充电、占用消防通道及消防车道、擅自侵占小区共有部分经营等违法违规行为。市住房城乡建设局、能源局、工信局、国网原平市供电公司、通信、广播电视等部门要依法督促供水、供电、供气、供热、通信、有线电视等专业运营单位落实对产权范围内物业服务区域内相关设施设备的维修、养护和更新责任。（责任单位：各乡（镇、街道）；指导单位：市住房城乡建设局、自然资源局、公安局、市场监管局、能源局、工信局、市融媒体中心、市消防救援大队）</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仿宋_GB2312" w:eastAsia="仿宋_GB2312"/>
          <w:sz w:val="24"/>
          <w:szCs w:val="24"/>
        </w:rPr>
      </w:pPr>
      <w:r>
        <w:rPr>
          <w:rFonts w:hint="eastAsia" w:ascii="仿宋_GB2312" w:eastAsia="仿宋_GB2312"/>
          <w:sz w:val="24"/>
          <w:szCs w:val="24"/>
        </w:rPr>
        <w:t>4、加强物业管理人员配备。各乡（镇、街道）要在各小区配备物业管理工作人员，在社区配备或聘用物业管理专管员，协助小区开展物业管理、房屋安全隐患排查等具体工作。（责任单位：各乡（镇、街道）；指导单位：市住房城乡建设局、民政局、应急局）</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仿宋_GB2312" w:eastAsia="仿宋_GB2312"/>
          <w:sz w:val="24"/>
          <w:szCs w:val="24"/>
        </w:rPr>
      </w:pPr>
      <w:r>
        <w:rPr>
          <w:rFonts w:hint="eastAsia" w:ascii="仿宋_GB2312" w:eastAsia="仿宋_GB2312"/>
          <w:sz w:val="24"/>
          <w:szCs w:val="24"/>
        </w:rPr>
        <w:t>5、强化社区联动联防。社区居委会、业委会（物管会）、物业服务企业要配合相关部门做好流动人口、出租房屋及居民个人养犬等登记报备工作，积极推进社区网格化管理。社区工作人员、网格员和物业服务人员要配合派出所化解矛盾纠纷、排查安全隐患和收集发现犯罪线索等。有条件、有需求的物业服务企业可在司法行政部门指导下依法设立人民调解组织，引导通过调解方式化解居民矛盾纠纷；各乡（镇、街道）要依托社会专业力量，加强人民调解组织的职业化、专业化，提升调解成功率和被调解人的满意度。（责任单位：各乡（镇、街道）；指导单位：市公安局、司法局、民政局）</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仿宋_GB2312" w:eastAsia="仿宋_GB2312"/>
          <w:sz w:val="24"/>
          <w:szCs w:val="24"/>
        </w:rPr>
      </w:pPr>
      <w:r>
        <w:rPr>
          <w:rFonts w:hint="eastAsia" w:ascii="仿宋_GB2312" w:eastAsia="仿宋_GB2312"/>
          <w:sz w:val="24"/>
          <w:szCs w:val="24"/>
        </w:rPr>
        <w:t>6、构建共建共治共享格局。依托12345热线、随手拍、城市综合管理服务平台（数字城管平台）健全投诉事项办理机制。社区要发挥居民的主体作用，鼓励业主积极参与小区共建共治，组织社区社会组织、社会工作服务机构、社区志愿者、驻区单位共同参与居住社区治理，构建共建共治共享的基层社会治理体系。（责任单位：各乡（镇、街道）；指导单位：市民政局、住房城乡建设局、行政审批局）</w:t>
      </w:r>
    </w:p>
    <w:p>
      <w:pPr>
        <w:pStyle w:val="5"/>
        <w:bidi w:val="0"/>
        <w:rPr>
          <w:rFonts w:hint="eastAsia"/>
        </w:rPr>
      </w:pPr>
      <w:r>
        <w:rPr>
          <w:rFonts w:hint="eastAsia"/>
        </w:rPr>
        <w:t>（二）加强业委会（物管会）建设，提高住宅小区自治能力</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仿宋_GB2312" w:eastAsia="仿宋_GB2312"/>
          <w:sz w:val="24"/>
          <w:szCs w:val="24"/>
        </w:rPr>
      </w:pPr>
      <w:r>
        <w:rPr>
          <w:rFonts w:hint="eastAsia" w:ascii="仿宋_GB2312" w:eastAsia="仿宋_GB2312"/>
          <w:sz w:val="24"/>
          <w:szCs w:val="24"/>
        </w:rPr>
        <w:t>1、加强业委会（物管会）组建。各乡（镇、街道）要按照有关规定规范业委会（物管会）组建、换届工作。督促建设单位对已交付专有面积过半的住宅小区提交筹备业主大会所需资料，组织指导筹备首次业主大会，组建业委会，选聘物业服务企业，终止前期物业管理。严把业委会组建的人选关、审核关，鼓励“两代表一委员”参选业委会成员，打造“红色物业”“红色业委会”，并纳入乡（镇、街道）党组织统一管理，建立党建引领下的社区居民委员会、业委会、物业服务企业协调运行机制。尚不具备成立业委会条件的小区，由乡（镇、街道）牵头组建物管会，行使业主大会和业委会的职责。到2021年底，业委会（物管会）组建率达到20%以上，2022年底达到50%以上，2023年底达到80%以上。（责任单位：各乡（镇、街道）；指导单位：市民政局、住房城乡建设局）</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仿宋_GB2312" w:eastAsia="仿宋_GB2312"/>
          <w:sz w:val="24"/>
          <w:szCs w:val="24"/>
        </w:rPr>
      </w:pPr>
      <w:r>
        <w:rPr>
          <w:rFonts w:hint="eastAsia" w:ascii="仿宋_GB2312" w:eastAsia="仿宋_GB2312"/>
          <w:sz w:val="24"/>
          <w:szCs w:val="24"/>
        </w:rPr>
        <w:t>2、明确业委会（物管会）职责。业委会（物管会）要严格按照《民法典》等规定，明确职责范围。经业主大会决定，可行使一定额度内业主共有部分经营收益支出、住宅专项维修资金（以下简称“维修资金”）使用等权利；可聘请专职工作人员，明确工作职责和薪酬标准；维护业主合法权益，协调解决业主合理诉求；监督和协助物业服务企业履行物业服务合同；在决定物业管理有关事项前，公开征求业主意见，并报告社区党组织和居委会；每年向业主公布共有部分经营收益、维修资金使用、经费开支等信息；督促业主遵守议事规则、管理规约和业主大会决议，劝阻业主违规违约行为。（责任单位：各乡（镇、街道）；指导单位：市住房城乡建设局、民政局、财政局）</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仿宋_GB2312" w:eastAsia="仿宋_GB2312"/>
          <w:sz w:val="24"/>
          <w:szCs w:val="24"/>
        </w:rPr>
      </w:pPr>
      <w:r>
        <w:rPr>
          <w:rFonts w:hint="eastAsia" w:ascii="仿宋_GB2312" w:eastAsia="仿宋_GB2312"/>
          <w:sz w:val="24"/>
          <w:szCs w:val="24"/>
        </w:rPr>
        <w:t>3、强化对业委会（物管会）的监督。各乡（镇、街道）对业委会（物管会）作出的违反法律法规和议事规则、管理规约的决定，应责令限期整改或者撤销其决定，并通告全体业主；对业委会不依法履行职责，严重损害业主权益的，应指导业主大会召开临时会议，重新选举；建立业委会（物管会）成员履职负面清单，对出现负面清单情形的，暂停相关成员履行职责，提请业主大会终止成员资格并公告全体业主，涉嫌犯罪的移送司法机关。（责任单位：各乡（镇、街道）；指导单位：市住房城乡建设局、民政局）</w:t>
      </w:r>
    </w:p>
    <w:p>
      <w:pPr>
        <w:pStyle w:val="5"/>
        <w:bidi w:val="0"/>
        <w:rPr>
          <w:rFonts w:hint="eastAsia"/>
        </w:rPr>
      </w:pPr>
      <w:r>
        <w:rPr>
          <w:rFonts w:hint="eastAsia"/>
        </w:rPr>
        <w:t>（三）分类指导各方统筹，提升物业管理服务水平</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仿宋_GB2312" w:eastAsia="仿宋_GB2312"/>
          <w:sz w:val="24"/>
          <w:szCs w:val="24"/>
        </w:rPr>
      </w:pPr>
      <w:r>
        <w:rPr>
          <w:rFonts w:hint="eastAsia" w:ascii="仿宋_GB2312" w:eastAsia="仿宋_GB2312"/>
          <w:sz w:val="24"/>
          <w:szCs w:val="24"/>
        </w:rPr>
        <w:t>1、扩大物业管理覆盖面。各乡（镇、街道）要组织推动业委会（物管会）选聘物业服务企业，实行专业化物业管理。结合城镇老旧小区改造，同步鼓励物业服务企业接管；暂不具备专业化物业管理条件的，通过社区居委会托管、社会组织代管、业委会（物管会）自管等方式，逐步实现物业管理全覆盖。2021年开展“设区市无物业管理小区清零行动”，2021年底我市建成区达到70%以上;2022年底达到80%以上，2023年底达到90%以上。（责任单位：各乡（镇、街道）；指导单位：市住房城乡建设局、民政局）</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仿宋_GB2312" w:eastAsia="仿宋_GB2312"/>
          <w:spacing w:val="-6"/>
          <w:sz w:val="24"/>
          <w:szCs w:val="24"/>
        </w:rPr>
      </w:pPr>
      <w:r>
        <w:rPr>
          <w:rFonts w:hint="eastAsia" w:ascii="仿宋_GB2312" w:eastAsia="仿宋_GB2312"/>
          <w:sz w:val="24"/>
          <w:szCs w:val="24"/>
        </w:rPr>
        <w:t>2、提升物业服务质量。物业服务企业要健全服务质量保障体系，建立服务投诉快速处理机制；加强与专业运营单位的协作配合，不得擅自收取额外费用；加强人员车辆管理，定期巡检和养护共用部位、共用设施设备，做好绿化养护，规范垃圾投放、清扫清运，打造优秀物业服务项目；严格落实消防安全责任，建立微型消防站，健全消防管理制度，保护业主的人身、财产安全；及时发现、制止违法违规行为，并向有关行政管理部门报告；健全薪酬制度和员工激励制度，引入技能人才和专业技术人才，提升物业服务质量。（责任单位：各乡（镇、街道）；指</w:t>
      </w:r>
      <w:r>
        <w:rPr>
          <w:rFonts w:hint="eastAsia" w:ascii="仿宋_GB2312" w:eastAsia="仿宋_GB2312"/>
          <w:spacing w:val="-6"/>
          <w:sz w:val="24"/>
          <w:szCs w:val="24"/>
        </w:rPr>
        <w:t>导单位：市住房城乡建设局、市消防救援大队）</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仿宋_GB2312" w:eastAsia="仿宋_GB2312"/>
          <w:sz w:val="24"/>
          <w:szCs w:val="24"/>
        </w:rPr>
      </w:pPr>
      <w:r>
        <w:rPr>
          <w:rFonts w:hint="eastAsia" w:ascii="仿宋_GB2312" w:eastAsia="仿宋_GB2312"/>
          <w:sz w:val="24"/>
          <w:szCs w:val="24"/>
        </w:rPr>
        <w:t>3、推动物业行业发展。市住房城乡建设局要完善物业服务标准，规范物业服务企业经营行为；要出台行业自律公约、从业行为规范等，开展业务培训，促进物业服务业健康发展；扶持部分信誉好、专业化程度高、服务能力强的物业服务企业，发挥品牌示范带头作用。要支持物业服务企业兼并重组，</w:t>
      </w:r>
      <w:r>
        <w:rPr>
          <w:rFonts w:hint="eastAsia" w:ascii="仿宋_GB2312" w:eastAsia="仿宋_GB2312"/>
          <w:spacing w:val="-6"/>
          <w:sz w:val="24"/>
          <w:szCs w:val="24"/>
        </w:rPr>
        <w:t>推动物业服务规模化、品牌化经营。（责任单位：各乡（镇、街道）、市住房城乡建设局）</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仿宋_GB2312" w:eastAsia="仿宋_GB2312"/>
          <w:sz w:val="24"/>
          <w:szCs w:val="24"/>
        </w:rPr>
      </w:pPr>
      <w:r>
        <w:rPr>
          <w:rFonts w:hint="eastAsia" w:ascii="仿宋_GB2312" w:eastAsia="仿宋_GB2312"/>
          <w:sz w:val="24"/>
          <w:szCs w:val="24"/>
        </w:rPr>
        <w:t>4、提高从业人员素质。市人社局要组织物业管理职业技能竞赛，开展物业从业人员、消防设施操作员等职业技能培训及技能等级认定工作，提高从业人员整体素质和技能水平。物业主管部门要定期组织开展“最美物业人”宣传选树活动，增强从业人员荣誉感和归属感。（责任单位：各乡（镇、街道）；指导单位：市住房城乡建设局、人社局、市消防救援大队）</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仿宋_GB2312" w:eastAsia="仿宋_GB2312"/>
          <w:sz w:val="24"/>
          <w:szCs w:val="24"/>
        </w:rPr>
      </w:pPr>
      <w:r>
        <w:rPr>
          <w:rFonts w:hint="eastAsia" w:ascii="仿宋_GB2312" w:eastAsia="仿宋_GB2312"/>
          <w:sz w:val="24"/>
          <w:szCs w:val="24"/>
        </w:rPr>
        <w:t>5、完善物业价格形成机制。物业服务价格主要通过市场竞争形成，由业主与物业服务企业约定，可根据服务标准和物价指数等因素动态调整，提倡酬金制计费方式。各级物业主管部门要公布物业服务清单，明确物业服务内容和标准。实行政府指导价的前期物业和保障房物业服务收费，由市政府根据实际情况制定并公布基准价及其浮动幅度，建立动态调整机制。（责任单位：各乡（镇、街道）；指导单位：市发展改革局、住房城乡建设局、市场监管局）</w:t>
      </w:r>
    </w:p>
    <w:p>
      <w:pPr>
        <w:pStyle w:val="5"/>
        <w:bidi w:val="0"/>
        <w:rPr>
          <w:rFonts w:hint="eastAsia"/>
        </w:rPr>
      </w:pPr>
      <w:r>
        <w:rPr>
          <w:rFonts w:hint="eastAsia"/>
        </w:rPr>
        <w:t>（四）强化维修资金管理，提高资金使用效率</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仿宋_GB2312" w:eastAsia="仿宋_GB2312"/>
          <w:sz w:val="24"/>
          <w:szCs w:val="24"/>
        </w:rPr>
      </w:pPr>
      <w:r>
        <w:rPr>
          <w:rFonts w:hint="eastAsia" w:ascii="仿宋_GB2312" w:eastAsia="仿宋_GB2312"/>
          <w:sz w:val="24"/>
          <w:szCs w:val="24"/>
        </w:rPr>
        <w:t xml:space="preserve">1、加大维修资金归集管理力度。新建商品房在办理网签备案时，应由建设单位代为足额缴纳维修资金，确保应缴尽缴。维修资金管理部门要采用公开招标方式，择优确定专户管理银行并严格控制数量，提高资金收益水平，按期将收益分配至业主分户账；加快维修资金管理信息系统建设，方便业主实时查询;严肃查处侵占、挪用维修资金等违法违规行为。（责任单位：市住房城乡建设局；指导单位：市财政局、原平银保监组） </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仿宋_GB2312" w:eastAsia="仿宋_GB2312"/>
          <w:sz w:val="24"/>
          <w:szCs w:val="24"/>
        </w:rPr>
      </w:pPr>
      <w:r>
        <w:rPr>
          <w:rFonts w:hint="eastAsia" w:ascii="仿宋_GB2312" w:eastAsia="仿宋_GB2312"/>
          <w:sz w:val="24"/>
          <w:szCs w:val="24"/>
        </w:rPr>
        <w:t>2、提高维修资金使用效率。维修资金管理部门要优化维修资金使用流程，由各乡（镇、街道）对维修资金使用方案等资料进行审核、现场查验同意后，向维修资金管理部门申请列支、划转，根据维修工程进度适时拨付；建立应急维修事项清单，发生危及房屋安全等紧急情况时，业委会（物管会）可直接申请使用维修资金；支持维修资金用于老旧小区改造；探索使用维修资金购买电梯安全责任保险。（责任单位：各乡（镇、街道）；指导单位：市住房城乡建设局、财政局、原平银保监组）</w:t>
      </w:r>
    </w:p>
    <w:p>
      <w:pPr>
        <w:pStyle w:val="5"/>
        <w:bidi w:val="0"/>
        <w:rPr>
          <w:rFonts w:hint="eastAsia"/>
        </w:rPr>
      </w:pPr>
      <w:r>
        <w:rPr>
          <w:rFonts w:hint="eastAsia"/>
        </w:rPr>
        <w:t>（五）推动发展生活服务业，满足居民多样化多层次需求</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仿宋_GB2312" w:eastAsia="仿宋_GB2312"/>
          <w:sz w:val="24"/>
          <w:szCs w:val="24"/>
        </w:rPr>
      </w:pPr>
      <w:r>
        <w:rPr>
          <w:rFonts w:hint="eastAsia" w:ascii="仿宋_GB2312" w:eastAsia="仿宋_GB2312"/>
          <w:sz w:val="24"/>
          <w:szCs w:val="24"/>
        </w:rPr>
        <w:t>1、加强智慧物业管理服务能力建设。市住房城乡建设局要以“山西数字房产”为依托，建设通用、开放的智慧物业管理服务平台，采集住宅小区、楼幢、房屋、物业服务企业等数据，汇集购物、家政、养老、停车等生活服务数据，对接城市信息模型（CIM）和城市综合管理服务平台，共享城市管理数据，为居民提供智慧物业服务。（责任单位：各乡（镇、街道），市住房城乡建设局、行政审批局）</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仿宋_GB2312" w:eastAsia="仿宋_GB2312"/>
          <w:sz w:val="24"/>
          <w:szCs w:val="24"/>
        </w:rPr>
      </w:pPr>
      <w:r>
        <w:rPr>
          <w:rFonts w:hint="eastAsia" w:ascii="仿宋_GB2312" w:eastAsia="仿宋_GB2312"/>
          <w:sz w:val="24"/>
          <w:szCs w:val="24"/>
        </w:rPr>
        <w:t>2、推动住宅小区管理智能化。鼓励物业服务企业以智慧物业管理服务平台为支撑，开展小区智慧物业服务；在电梯、消防、给排水等重要设施设备布设传感器，实现数据实时采集；建立事件部件处置权责清单，明确处置业务流程和规范；在小区周界、出入口、停车场（库）等公共区域安装智能设备，提升小区技防智能化水平。（责任单位：各乡（镇、街道）；指导单位：市住房城乡建设局、公安局、市消防救援大队）</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仿宋_GB2312" w:eastAsia="仿宋_GB2312"/>
          <w:sz w:val="24"/>
          <w:szCs w:val="24"/>
        </w:rPr>
      </w:pPr>
      <w:r>
        <w:rPr>
          <w:rFonts w:hint="eastAsia" w:ascii="仿宋_GB2312" w:eastAsia="仿宋_GB2312"/>
          <w:sz w:val="24"/>
          <w:szCs w:val="24"/>
        </w:rPr>
        <w:t>3、推动物业服务线上线下融合。要鼓励物业服务企业向养老、托幼、家政、文化、健康、房屋经纪、快递收发等领域延伸。物业服务企业可通过智慧物业管理服务平台，探索“物业服务+生活服务”模式，提供定制化产品和个性化服务，满足居民多样化、多层次居住生活需求；探索“物业服务+居家社区养老服务”模式，整合线上线下资源，为老年人提供助餐、助行、助医、助洁、助购、助急等便捷养老服务。开展养老、家政等生活性服务业务的，可依规申请相应优惠扶持政策。（责任单位：各乡（镇、街道）；指导单位：市住房城乡建设局、民政局、卫生健康和体育局、教科局、人社局、文化和旅游局）</w:t>
      </w:r>
    </w:p>
    <w:p>
      <w:pPr>
        <w:pStyle w:val="5"/>
        <w:bidi w:val="0"/>
        <w:rPr>
          <w:rFonts w:hint="eastAsia"/>
        </w:rPr>
      </w:pPr>
      <w:r>
        <w:rPr>
          <w:rFonts w:hint="eastAsia"/>
        </w:rPr>
        <w:t>（六）强化物业服务监管，规范物业服务市场秩序</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仿宋_GB2312" w:eastAsia="仿宋_GB2312"/>
          <w:sz w:val="24"/>
          <w:szCs w:val="24"/>
        </w:rPr>
      </w:pPr>
      <w:r>
        <w:rPr>
          <w:rFonts w:hint="eastAsia" w:ascii="仿宋_GB2312" w:eastAsia="仿宋_GB2312"/>
          <w:sz w:val="24"/>
          <w:szCs w:val="24"/>
        </w:rPr>
        <w:t>1、优化市场竞争环境。市市场监管局和市住房城乡建设局要加强物业服务企业登记注册和行业监管信息实时共享，强化企业监管服务效能。市住房城乡建设局要探索建立物业服务企业资格管理制度、物业服务合同和项目负责人备案制度，完善物业管理招投标制度，引导业委会（物管会）通过公开招标方式选聘物业服务企业。市住房城乡建设局在征求各乡（镇、街道）的基础上，依法依规建立企业失信惩戒制度，对严重违法违规、情节恶劣的物业服务企业和直接责任人员，依法清出市场，对已经开展物业服务的，按照《民法典》等规定经业主同意后予以解聘，推动形成优胜劣汰的市场环境，促进行业可持续发展。（责任单位：各乡（镇、街道），市住房城乡建设局、发展改革局、市场监管局）</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仿宋_GB2312" w:eastAsia="仿宋_GB2312"/>
          <w:sz w:val="24"/>
          <w:szCs w:val="24"/>
        </w:rPr>
      </w:pPr>
      <w:r>
        <w:rPr>
          <w:rFonts w:hint="eastAsia" w:ascii="仿宋_GB2312" w:eastAsia="仿宋_GB2312"/>
          <w:sz w:val="24"/>
          <w:szCs w:val="24"/>
        </w:rPr>
        <w:t>2、建立服务信息公示制度。各乡（镇、街道）要指导监督物业服务企业设立物业服务信息监督公示栏，如实公示并及时更新物业项目负责人的基本情况、联系方式以及物业服务投诉电话、物业服务内容和标准、收费项目和标准、电梯和消防等设施设备维保单位和联系方式、车位车库使用情况、公共水电费分摊情况、物业费和业主共有部分经营收益收支情况、电梯维护保养支出情况等信息。物业服务企业开展家政、养老等服务也应对外公示，按双方约定收取费用。物业服务企业不得收取公示收费项目以外的费用。（责任单位：各乡（镇、街道）；指导单位：市住房城乡建设局、发展改革局、民政局、市场监管局）</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仿宋_GB2312" w:eastAsia="仿宋_GB2312"/>
          <w:sz w:val="24"/>
          <w:szCs w:val="24"/>
        </w:rPr>
      </w:pPr>
      <w:r>
        <w:rPr>
          <w:rFonts w:hint="eastAsia" w:ascii="仿宋_GB2312" w:eastAsia="仿宋_GB2312"/>
          <w:sz w:val="24"/>
          <w:szCs w:val="24"/>
        </w:rPr>
        <w:t>3、完善企业信用管理制度。市住房城乡建设局要充分应用“山西数字房产”平台信用评价系统，根据合同履行、投诉处理、日常检查和街道意见等情况，依法依规采集信用信息，开展企业信用等级评价，定期公开信用评价结果。推进信用星级认定工作，实行信用分级分类监管，强化信用信息在前期物业管理招投标、业主大会选聘物业服务企业、政府采购等方面的应用。（责任单位：各乡（镇、街道），市住房城乡建设局、发展改革局、财政局）</w:t>
      </w:r>
    </w:p>
    <w:p>
      <w:pPr>
        <w:pStyle w:val="5"/>
        <w:bidi w:val="0"/>
        <w:rPr>
          <w:rFonts w:hint="eastAsia"/>
        </w:rPr>
      </w:pPr>
      <w:r>
        <w:rPr>
          <w:rFonts w:hint="eastAsia"/>
        </w:rPr>
        <w:t>（七）规范业主委员会运行，融入基层社会治理体系</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仿宋_GB2312" w:eastAsia="仿宋_GB2312"/>
          <w:sz w:val="24"/>
          <w:szCs w:val="24"/>
        </w:rPr>
      </w:pPr>
      <w:r>
        <w:rPr>
          <w:rFonts w:hint="eastAsia" w:ascii="仿宋_GB2312" w:eastAsia="仿宋_GB2312"/>
          <w:sz w:val="24"/>
          <w:szCs w:val="24"/>
        </w:rPr>
        <w:t>1、打造“红色物业”“红色业委会”。各乡（镇、街道）和社区党组织要采取单建、联建、区域建设等方式，推动业委会、物业服务企业党组织应建尽建，并纳入乡（镇、街道）党组织统一管理。建立党建引领下的社区居民委员会、业委会和物业服务企业协调运行机制，充分调动居民参与积极性，形成社区治理合力。推动业委会成员中的党员担任社区党组织兼职委员，符合条件的社区“两委一代表”成员通过法定程序兼任业委会成员。</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仿宋_GB2312" w:eastAsia="仿宋_GB2312"/>
          <w:sz w:val="24"/>
          <w:szCs w:val="24"/>
        </w:rPr>
      </w:pPr>
      <w:r>
        <w:rPr>
          <w:rFonts w:hint="eastAsia" w:ascii="仿宋_GB2312" w:eastAsia="仿宋_GB2312"/>
          <w:sz w:val="24"/>
          <w:szCs w:val="24"/>
        </w:rPr>
        <w:t>各乡（镇、街道）要积极推动业主设立业主大会、选举业委会。暂未成立业委会的，由乡（镇、街道）党（工）委牵头，在社区居委会下设物管会，临时代行业委会职责。成立物管会要同步建立党组织。三年内业委会（物管会）成立比例要达到90%以上。突发公共事件和重大安全事件应对期间，乡（镇、街道）要指导物业服务企业开展应对工作，并给予物资和资金支持。委托物业服务企业承担公共服务事项的，应向物业服务企业支付相应费用。</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仿宋_GB2312" w:eastAsia="仿宋_GB2312"/>
          <w:sz w:val="24"/>
          <w:szCs w:val="24"/>
        </w:rPr>
      </w:pPr>
      <w:r>
        <w:rPr>
          <w:rFonts w:hint="eastAsia" w:ascii="仿宋_GB2312" w:eastAsia="仿宋_GB2312"/>
          <w:sz w:val="24"/>
          <w:szCs w:val="24"/>
        </w:rPr>
        <w:t>2、规范运行，加强监督。业委会要按照议事规则规定定期召开业主大会和业委会会议，在决定物业管理有关事项前，应公开征求业主意见，并报告社区党组织和居民委员会。对恶意拖欠物业费的业主，按照管理规约约定催缴并采取相关措施，催缴无果后向市法院提起诉讼，在取得生效的法院判决并强制执行未果后将当事人列为失信被执行人。业委会不依法履行职责，严重损害业主权益的，各乡（镇、街道）要指导业主大会召开临时会议，重新选举业委会。加大对业委会成员违法违规行为查处力度，涉嫌犯罪的移交司法机关处理。</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仿宋_GB2312" w:eastAsia="仿宋_GB2312"/>
          <w:sz w:val="24"/>
          <w:szCs w:val="24"/>
        </w:rPr>
      </w:pPr>
      <w:r>
        <w:rPr>
          <w:rFonts w:hint="eastAsia" w:ascii="仿宋_GB2312" w:eastAsia="仿宋_GB2312"/>
          <w:sz w:val="24"/>
          <w:szCs w:val="24"/>
        </w:rPr>
        <w:t>建立信息公示制度和换届审计制度。业委会每年向业主公布业主共有部分经营与收益、维修资金使用、经费开支等信息，保障业主的知情权和监督权。业主委员会换届由业主大会组织进行审计。</w:t>
      </w:r>
    </w:p>
    <w:p>
      <w:pPr>
        <w:keepNext w:val="0"/>
        <w:keepLines w:val="0"/>
        <w:pageBreakBefore w:val="0"/>
        <w:widowControl w:val="0"/>
        <w:kinsoku/>
        <w:wordWrap/>
        <w:overflowPunct/>
        <w:topLinePunct w:val="0"/>
        <w:autoSpaceDE/>
        <w:autoSpaceDN/>
        <w:bidi w:val="0"/>
        <w:adjustRightInd/>
        <w:snapToGrid w:val="0"/>
        <w:spacing w:line="500" w:lineRule="exact"/>
        <w:ind w:firstLine="520" w:firstLineChars="200"/>
        <w:textAlignment w:val="auto"/>
        <w:rPr>
          <w:rFonts w:hint="eastAsia" w:ascii="黑体" w:hAnsi="黑体" w:eastAsia="黑体"/>
          <w:sz w:val="26"/>
          <w:szCs w:val="26"/>
        </w:rPr>
      </w:pPr>
      <w:r>
        <w:rPr>
          <w:rFonts w:hint="eastAsia" w:ascii="黑体" w:hAnsi="黑体" w:eastAsia="黑体"/>
          <w:sz w:val="26"/>
          <w:szCs w:val="26"/>
        </w:rPr>
        <w:t>六、责任分工</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仿宋_GB2312" w:eastAsia="仿宋_GB2312"/>
          <w:sz w:val="24"/>
          <w:szCs w:val="24"/>
        </w:rPr>
      </w:pPr>
      <w:r>
        <w:rPr>
          <w:rStyle w:val="29"/>
          <w:rFonts w:hint="eastAsia"/>
        </w:rPr>
        <w:t>（一）各乡（镇、街道）是加强和改进住宅物业管理工作的组织实施主体。</w:t>
      </w:r>
      <w:r>
        <w:rPr>
          <w:rFonts w:hint="eastAsia" w:ascii="仿宋_GB2312" w:eastAsia="仿宋_GB2312"/>
          <w:sz w:val="24"/>
          <w:szCs w:val="24"/>
        </w:rPr>
        <w:t>要牵头组织协调公安派出所、发展改革、住房城乡建设等相关部门共同建立健全物业管理运行的协调机制、畅通诉求渠道、矛盾纠纷预警预报和调解机制，积极调解处理物业服务投诉，定期组织召开辖区相关部门和单位参加的物业管理联席会议，协调解决住宅区内物业管理中的苗头性、倾向性和综合性问题。要督促辖区内物业服务企业依法依规搞好物业管理服务，按照物业服务合同，提供值价相符的服务，在服务区域内醒目位置公示服务项目、服务标准、服务价格。要特别注重培育激发社区居民的公共意识和责任意识，鼓励引导社区居民强化自我教育、自我管理、自我服务和积极参加社区公共事务，自觉遵守有关政策法规和业主管理规约。</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仿宋_GB2312" w:eastAsia="仿宋_GB2312"/>
          <w:sz w:val="24"/>
          <w:szCs w:val="24"/>
        </w:rPr>
      </w:pPr>
      <w:r>
        <w:rPr>
          <w:rStyle w:val="29"/>
          <w:rFonts w:hint="eastAsia"/>
        </w:rPr>
        <w:t>（二）各有关部门和单位是加强和改进住宅物业管理工作的行业监管主体。</w:t>
      </w:r>
      <w:r>
        <w:rPr>
          <w:rFonts w:hint="eastAsia" w:ascii="仿宋_GB2312" w:eastAsia="仿宋_GB2312"/>
          <w:sz w:val="24"/>
          <w:szCs w:val="24"/>
        </w:rPr>
        <w:t>要依照法定职责和相关要求，积极履行职责，并主动配合和支持各乡（镇、街道）开展工作。发展改革部门负责物业服务收费管理政策咨询工作，协调有关部门解决物业收费方面的投诉和纠纷。工信部门负责通讯企业的指导和监管，协调解决涉及通讯方面的投诉和纠纷。住房城乡建设部门负责对住宅项目的房屋质量、竣工验收、前期物业的监督管理。督促建设施工单位履行工程保修期内的保修责任，依规处理房屋保修期内由工程质量引发的投诉和纠纷，建立健全物业服务企业守信联合激励和失信联合惩戒机制，负责督促开发建设单位和物业服务企业规范经营行为，并进行事中事后监管。负责指导小区垃圾清运工作，并对擅自改变绿化用地性质、挤占绿线等违法行为进行监督检查。同时负责督促供水、供气、供热等公共服务经营单位，直接向物业管理区域内的业主提供服务，依法承担相关管线及设施设备的维修、养护责任，并向业主（实际最终使用人）收取费用进行监督检查。公安部门负责依法查处住宅小区内影响公共安全、公共秩序的违法行为，对监控安防、宠物饲养、房屋租赁等开展监督检查。自然资源部门负责物业管理区域内新建、改建建（构）筑物和加装电梯、增建车位、车库的监管和违法搭建建（构）筑物、擅自改变房屋外观和结构等的查处工作。生态环境部门负责对违法排放水污染物及烟气污染物、燃煤设施、噪音污染、废弃物等的监督检查。人防部门负责对损坏人防工程防护设备和擅自改变防护工程结构等违法行为的监督检查。消防部门负责对小区内易燃物品、占用消防通道、遮挡和损坏消防设施的行为进行监督检查。市场监管部门负责对物业管理区域内电梯等特种设备的安装、改造、维修、经营、使用、检验检测进行监督检查，对未经有利害关系业主同意和行政审批管理部门登记注册，擅自将住宅改变为经营性用房以及在物业区域内违反现场经营相关法律法规，无照从事餐饮的经营行为进行查处，对无照从事娱乐、住宿的经营行为，配合相关主管部门进行查处。卫生健康和体育部门负责对住宅区疫情防控和婴幼儿防疫（疫苗接种）工作进行监督检查。能源部门负责供电企业的指导和监管，协调解决涉及供电方面的投诉和纠纷。</w:t>
      </w:r>
    </w:p>
    <w:p>
      <w:pPr>
        <w:keepNext w:val="0"/>
        <w:keepLines w:val="0"/>
        <w:pageBreakBefore w:val="0"/>
        <w:widowControl w:val="0"/>
        <w:kinsoku/>
        <w:wordWrap/>
        <w:overflowPunct/>
        <w:topLinePunct w:val="0"/>
        <w:autoSpaceDE/>
        <w:autoSpaceDN/>
        <w:bidi w:val="0"/>
        <w:adjustRightInd/>
        <w:snapToGrid w:val="0"/>
        <w:spacing w:line="500" w:lineRule="exact"/>
        <w:ind w:firstLine="520" w:firstLineChars="200"/>
        <w:textAlignment w:val="auto"/>
        <w:rPr>
          <w:rFonts w:hint="eastAsia" w:ascii="黑体" w:hAnsi="黑体" w:eastAsia="黑体"/>
          <w:sz w:val="26"/>
          <w:szCs w:val="26"/>
        </w:rPr>
      </w:pPr>
      <w:r>
        <w:rPr>
          <w:rFonts w:hint="eastAsia" w:ascii="黑体" w:hAnsi="黑体" w:eastAsia="黑体"/>
          <w:sz w:val="26"/>
          <w:szCs w:val="26"/>
        </w:rPr>
        <w:t>七、保障措施</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仿宋_GB2312" w:eastAsia="仿宋_GB2312"/>
          <w:sz w:val="24"/>
          <w:szCs w:val="24"/>
        </w:rPr>
      </w:pPr>
      <w:r>
        <w:rPr>
          <w:rStyle w:val="29"/>
          <w:rFonts w:hint="eastAsia"/>
        </w:rPr>
        <w:t>（一）提高思想认识。</w:t>
      </w:r>
      <w:r>
        <w:rPr>
          <w:rFonts w:hint="eastAsia" w:ascii="仿宋_GB2312" w:eastAsia="仿宋_GB2312"/>
          <w:sz w:val="24"/>
          <w:szCs w:val="24"/>
        </w:rPr>
        <w:t>各乡（镇、街道）和有关部门要充分认识加强物业管理工作的重要性和现实紧迫性，站在加强和创新社会治理的高度、解决民生问题的角度、维护社会稳定的维度，将物业管理工作纳入年度目标考核，做到思想上有位置、工作上有部署、行动上有措施、落实上有监督。</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仿宋_GB2312" w:eastAsia="仿宋_GB2312"/>
          <w:sz w:val="24"/>
          <w:szCs w:val="24"/>
        </w:rPr>
      </w:pPr>
      <w:r>
        <w:rPr>
          <w:rStyle w:val="29"/>
          <w:rFonts w:hint="eastAsia"/>
        </w:rPr>
        <w:t>（二）加强组织领导。</w:t>
      </w:r>
      <w:r>
        <w:rPr>
          <w:rFonts w:hint="eastAsia" w:ascii="仿宋_GB2312" w:eastAsia="仿宋_GB2312"/>
          <w:sz w:val="24"/>
          <w:szCs w:val="24"/>
        </w:rPr>
        <w:t>各乡（镇、街道）和有关部门要加强物业管理工作的组织领导，主要领导要亲自抓，分管领导要具体抓，并结合本行动计划，抓紧制定细化措施，落实相关任务，做好各项工作，精心组织实施。</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仿宋_GB2312" w:eastAsia="仿宋_GB2312"/>
          <w:sz w:val="24"/>
          <w:szCs w:val="24"/>
        </w:rPr>
      </w:pPr>
      <w:r>
        <w:rPr>
          <w:rStyle w:val="29"/>
          <w:rFonts w:hint="eastAsia"/>
        </w:rPr>
        <w:t>（三）加强宣传培训。</w:t>
      </w:r>
      <w:r>
        <w:rPr>
          <w:rFonts w:hint="eastAsia" w:ascii="仿宋_GB2312" w:eastAsia="仿宋_GB2312"/>
          <w:sz w:val="24"/>
          <w:szCs w:val="24"/>
        </w:rPr>
        <w:t>各乡（镇、街道）和有关部门要充分利用报刊、电视、互联网等媒体，积极宣传物业管理相关法规政策，在全社会大力营造加强物业管理、共建美好家园的浓厚氛围。</w:t>
      </w:r>
    </w:p>
    <w:p>
      <w:pPr>
        <w:keepNext w:val="0"/>
        <w:keepLines w:val="0"/>
        <w:pageBreakBefore w:val="0"/>
        <w:widowControl w:val="0"/>
        <w:kinsoku/>
        <w:wordWrap/>
        <w:overflowPunct/>
        <w:topLinePunct w:val="0"/>
        <w:autoSpaceDE/>
        <w:autoSpaceDN/>
        <w:bidi w:val="0"/>
        <w:adjustRightInd/>
        <w:snapToGrid w:val="0"/>
        <w:spacing w:line="500" w:lineRule="exact"/>
        <w:ind w:firstLine="640" w:firstLineChars="200"/>
        <w:textAlignment w:val="auto"/>
        <w:rPr>
          <w:rFonts w:hint="eastAsia" w:ascii="仿宋_GB2312" w:eastAsia="仿宋_GB2312"/>
          <w:sz w:val="32"/>
          <w:szCs w:val="32"/>
        </w:rPr>
        <w:sectPr>
          <w:type w:val="continuous"/>
          <w:pgSz w:w="12240" w:h="16498"/>
          <w:pgMar w:top="1145" w:right="1389" w:bottom="1134" w:left="1389" w:header="1043" w:footer="992" w:gutter="0"/>
          <w:pgNumType w:fmt="decimal"/>
          <w:cols w:equalWidth="0" w:num="2">
            <w:col w:w="4518" w:space="425"/>
            <w:col w:w="4518"/>
          </w:cols>
          <w:rtlGutter w:val="0"/>
          <w:docGrid w:type="lines" w:linePitch="312" w:charSpace="0"/>
        </w:sectPr>
      </w:pPr>
    </w:p>
    <w:p>
      <w:pPr>
        <w:pStyle w:val="2"/>
        <w:bidi w:val="0"/>
        <w:rPr>
          <w:rFonts w:hint="eastAsia"/>
        </w:rPr>
      </w:pPr>
    </w:p>
    <w:p>
      <w:pPr>
        <w:pStyle w:val="2"/>
        <w:bidi w:val="0"/>
        <w:rPr>
          <w:rFonts w:hint="eastAsia"/>
        </w:rPr>
      </w:pPr>
      <w:bookmarkStart w:id="142" w:name="_Toc20297"/>
      <w:bookmarkStart w:id="143" w:name="_Toc29211"/>
      <w:r>
        <w:rPr>
          <w:rFonts w:hint="eastAsia"/>
        </w:rPr>
        <w:t>原平市人民政府办公室</w:t>
      </w:r>
      <w:bookmarkEnd w:id="142"/>
      <w:bookmarkEnd w:id="143"/>
    </w:p>
    <w:p>
      <w:pPr>
        <w:pStyle w:val="2"/>
        <w:bidi w:val="0"/>
        <w:rPr>
          <w:rFonts w:hint="eastAsia"/>
        </w:rPr>
      </w:pPr>
      <w:bookmarkStart w:id="144" w:name="_Toc18541"/>
      <w:bookmarkStart w:id="145" w:name="_Toc24922"/>
      <w:r>
        <w:rPr>
          <w:rFonts w:hint="eastAsia"/>
        </w:rPr>
        <w:t>关于成立原平市节约能源工作领导小组的通知</w:t>
      </w:r>
      <w:bookmarkEnd w:id="144"/>
      <w:bookmarkEnd w:id="145"/>
    </w:p>
    <w:p>
      <w:pPr>
        <w:keepNext w:val="0"/>
        <w:keepLines w:val="0"/>
        <w:pageBreakBefore w:val="0"/>
        <w:widowControl w:val="0"/>
        <w:kinsoku/>
        <w:overflowPunct/>
        <w:topLinePunct w:val="0"/>
        <w:autoSpaceDE/>
        <w:autoSpaceDN/>
        <w:bidi w:val="0"/>
        <w:adjustRightInd/>
        <w:snapToGrid w:val="0"/>
        <w:spacing w:line="500" w:lineRule="exact"/>
        <w:ind w:left="0" w:leftChars="0" w:firstLine="0" w:firstLineChars="0"/>
        <w:textAlignment w:val="auto"/>
        <w:rPr>
          <w:rFonts w:hint="eastAsia" w:ascii="仿宋_GB2312" w:hAnsi="宋体" w:eastAsia="仿宋_GB2312"/>
          <w:sz w:val="24"/>
          <w:szCs w:val="24"/>
        </w:rPr>
      </w:pPr>
    </w:p>
    <w:p>
      <w:pPr>
        <w:pStyle w:val="3"/>
        <w:bidi w:val="0"/>
        <w:rPr>
          <w:rFonts w:hint="eastAsia"/>
        </w:rPr>
      </w:pPr>
      <w:bookmarkStart w:id="146" w:name="_Toc20955"/>
      <w:r>
        <w:rPr>
          <w:rFonts w:hint="eastAsia"/>
        </w:rPr>
        <w:t>原政办函〔</w:t>
      </w:r>
      <w:r>
        <w:t>202</w:t>
      </w:r>
      <w:r>
        <w:rPr>
          <w:rFonts w:hint="eastAsia"/>
        </w:rPr>
        <w:t>2〕21号</w:t>
      </w:r>
      <w:bookmarkEnd w:id="146"/>
    </w:p>
    <w:p>
      <w:pPr>
        <w:keepNext w:val="0"/>
        <w:keepLines w:val="0"/>
        <w:pageBreakBefore w:val="0"/>
        <w:widowControl w:val="0"/>
        <w:kinsoku/>
        <w:overflowPunct/>
        <w:topLinePunct w:val="0"/>
        <w:autoSpaceDE/>
        <w:autoSpaceDN/>
        <w:bidi w:val="0"/>
        <w:adjustRightInd/>
        <w:snapToGrid w:val="0"/>
        <w:spacing w:line="500" w:lineRule="exact"/>
        <w:ind w:left="0" w:leftChars="0" w:firstLine="0" w:firstLineChars="0"/>
        <w:textAlignment w:val="auto"/>
        <w:rPr>
          <w:rFonts w:hint="eastAsia" w:ascii="仿宋_GB2312" w:eastAsia="仿宋_GB2312"/>
          <w:sz w:val="24"/>
          <w:szCs w:val="24"/>
        </w:rPr>
      </w:pPr>
      <w:r>
        <w:rPr>
          <w:rFonts w:hint="eastAsia" w:ascii="仿宋_GB2312" w:eastAsia="仿宋_GB2312"/>
          <w:sz w:val="24"/>
          <w:szCs w:val="24"/>
        </w:rPr>
        <w:t>各乡（镇）人民政府，各有关单位：</w:t>
      </w:r>
    </w:p>
    <w:p>
      <w:pPr>
        <w:keepNext w:val="0"/>
        <w:keepLines w:val="0"/>
        <w:pageBreakBefore w:val="0"/>
        <w:widowControl w:val="0"/>
        <w:kinsoku/>
        <w:overflowPunct/>
        <w:topLinePunct w:val="0"/>
        <w:autoSpaceDE/>
        <w:autoSpaceDN/>
        <w:bidi w:val="0"/>
        <w:adjustRightInd/>
        <w:snapToGrid w:val="0"/>
        <w:spacing w:line="500" w:lineRule="exact"/>
        <w:textAlignment w:val="auto"/>
        <w:rPr>
          <w:rFonts w:hint="eastAsia" w:ascii="仿宋_GB2312" w:eastAsia="仿宋_GB2312"/>
          <w:sz w:val="24"/>
          <w:szCs w:val="24"/>
        </w:rPr>
      </w:pPr>
      <w:r>
        <w:rPr>
          <w:rFonts w:hint="eastAsia" w:eastAsia="仿宋_GB2312"/>
          <w:sz w:val="24"/>
          <w:szCs w:val="24"/>
        </w:rPr>
        <w:t>为做好我市节约能源工作，</w:t>
      </w:r>
      <w:r>
        <w:rPr>
          <w:rFonts w:hint="eastAsia" w:ascii="仿宋_GB2312" w:eastAsia="仿宋_GB2312"/>
          <w:sz w:val="24"/>
          <w:szCs w:val="24"/>
        </w:rPr>
        <w:t>经市政府同意，成立原平市节约能源工作领导小组。组成人员如下：</w:t>
      </w:r>
    </w:p>
    <w:p>
      <w:pPr>
        <w:keepNext w:val="0"/>
        <w:keepLines w:val="0"/>
        <w:pageBreakBefore w:val="0"/>
        <w:widowControl w:val="0"/>
        <w:kinsoku/>
        <w:overflowPunct/>
        <w:topLinePunct w:val="0"/>
        <w:autoSpaceDE/>
        <w:autoSpaceDN/>
        <w:bidi w:val="0"/>
        <w:adjustRightInd/>
        <w:snapToGrid w:val="0"/>
        <w:spacing w:line="500" w:lineRule="exact"/>
        <w:ind w:firstLine="480" w:firstLineChars="200"/>
        <w:textAlignment w:val="auto"/>
        <w:rPr>
          <w:rFonts w:hint="eastAsia" w:ascii="仿宋_GB2312" w:eastAsia="仿宋_GB2312"/>
          <w:sz w:val="24"/>
          <w:szCs w:val="24"/>
        </w:rPr>
        <w:sectPr>
          <w:type w:val="continuous"/>
          <w:pgSz w:w="12240" w:h="16498"/>
          <w:pgMar w:top="1145" w:right="1389" w:bottom="1134" w:left="1389" w:header="1043" w:footer="992" w:gutter="0"/>
          <w:pgNumType w:fmt="decimal"/>
          <w:cols w:space="425" w:num="1"/>
          <w:rtlGutter w:val="0"/>
          <w:docGrid w:type="lines" w:linePitch="312" w:charSpace="0"/>
        </w:sectPr>
      </w:pPr>
    </w:p>
    <w:p>
      <w:pPr>
        <w:keepNext w:val="0"/>
        <w:keepLines w:val="0"/>
        <w:pageBreakBefore w:val="0"/>
        <w:widowControl w:val="0"/>
        <w:kinsoku/>
        <w:overflowPunct/>
        <w:topLinePunct w:val="0"/>
        <w:autoSpaceDE/>
        <w:autoSpaceDN/>
        <w:bidi w:val="0"/>
        <w:adjustRightInd/>
        <w:snapToGrid w:val="0"/>
        <w:spacing w:line="500" w:lineRule="exact"/>
        <w:ind w:firstLine="480" w:firstLineChars="200"/>
        <w:textAlignment w:val="auto"/>
        <w:rPr>
          <w:rFonts w:hint="eastAsia" w:ascii="仿宋_GB2312" w:eastAsia="仿宋_GB2312"/>
          <w:sz w:val="24"/>
          <w:szCs w:val="24"/>
        </w:rPr>
      </w:pPr>
      <w:r>
        <w:rPr>
          <w:rFonts w:hint="eastAsia" w:ascii="仿宋_GB2312" w:eastAsia="仿宋_GB2312"/>
          <w:sz w:val="24"/>
          <w:szCs w:val="24"/>
        </w:rPr>
        <w:t>组  长：</w:t>
      </w:r>
    </w:p>
    <w:p>
      <w:pPr>
        <w:keepNext w:val="0"/>
        <w:keepLines w:val="0"/>
        <w:pageBreakBefore w:val="0"/>
        <w:widowControl w:val="0"/>
        <w:kinsoku/>
        <w:overflowPunct/>
        <w:topLinePunct w:val="0"/>
        <w:autoSpaceDE/>
        <w:autoSpaceDN/>
        <w:bidi w:val="0"/>
        <w:adjustRightInd/>
        <w:snapToGrid w:val="0"/>
        <w:spacing w:line="500" w:lineRule="exact"/>
        <w:ind w:firstLine="480" w:firstLineChars="200"/>
        <w:textAlignment w:val="auto"/>
        <w:rPr>
          <w:rFonts w:hint="eastAsia" w:ascii="仿宋_GB2312" w:eastAsia="仿宋_GB2312"/>
          <w:sz w:val="24"/>
          <w:szCs w:val="24"/>
        </w:rPr>
      </w:pPr>
      <w:r>
        <w:rPr>
          <w:rFonts w:hint="eastAsia" w:ascii="仿宋_GB2312" w:eastAsia="仿宋_GB2312"/>
          <w:sz w:val="24"/>
          <w:szCs w:val="24"/>
        </w:rPr>
        <w:t>李文杰  市政府副市长</w:t>
      </w:r>
    </w:p>
    <w:p>
      <w:pPr>
        <w:keepNext w:val="0"/>
        <w:keepLines w:val="0"/>
        <w:pageBreakBefore w:val="0"/>
        <w:widowControl w:val="0"/>
        <w:kinsoku/>
        <w:overflowPunct/>
        <w:topLinePunct w:val="0"/>
        <w:autoSpaceDE/>
        <w:autoSpaceDN/>
        <w:bidi w:val="0"/>
        <w:adjustRightInd/>
        <w:snapToGrid w:val="0"/>
        <w:spacing w:line="500" w:lineRule="exact"/>
        <w:ind w:firstLine="480" w:firstLineChars="200"/>
        <w:textAlignment w:val="auto"/>
        <w:rPr>
          <w:rFonts w:hint="eastAsia" w:ascii="仿宋_GB2312" w:eastAsia="仿宋_GB2312"/>
          <w:sz w:val="24"/>
          <w:szCs w:val="24"/>
        </w:rPr>
      </w:pPr>
      <w:r>
        <w:rPr>
          <w:rFonts w:hint="eastAsia" w:ascii="仿宋_GB2312" w:eastAsia="仿宋_GB2312"/>
          <w:sz w:val="24"/>
          <w:szCs w:val="24"/>
        </w:rPr>
        <w:t>副组长：</w:t>
      </w:r>
    </w:p>
    <w:p>
      <w:pPr>
        <w:keepNext w:val="0"/>
        <w:keepLines w:val="0"/>
        <w:pageBreakBefore w:val="0"/>
        <w:widowControl w:val="0"/>
        <w:kinsoku/>
        <w:overflowPunct/>
        <w:topLinePunct w:val="0"/>
        <w:autoSpaceDE/>
        <w:autoSpaceDN/>
        <w:bidi w:val="0"/>
        <w:adjustRightInd/>
        <w:snapToGrid w:val="0"/>
        <w:spacing w:line="500" w:lineRule="exact"/>
        <w:ind w:firstLine="480" w:firstLineChars="200"/>
        <w:textAlignment w:val="auto"/>
        <w:rPr>
          <w:rFonts w:hint="eastAsia" w:ascii="仿宋_GB2312" w:eastAsia="仿宋_GB2312"/>
          <w:sz w:val="24"/>
          <w:szCs w:val="24"/>
        </w:rPr>
      </w:pPr>
      <w:r>
        <w:rPr>
          <w:rFonts w:hint="eastAsia" w:ascii="仿宋_GB2312" w:eastAsia="仿宋_GB2312"/>
          <w:sz w:val="24"/>
          <w:szCs w:val="24"/>
        </w:rPr>
        <w:t>李积慧  市政府办公室二级主任科员</w:t>
      </w:r>
    </w:p>
    <w:p>
      <w:pPr>
        <w:keepNext w:val="0"/>
        <w:keepLines w:val="0"/>
        <w:pageBreakBefore w:val="0"/>
        <w:widowControl w:val="0"/>
        <w:kinsoku/>
        <w:overflowPunct/>
        <w:topLinePunct w:val="0"/>
        <w:autoSpaceDE/>
        <w:autoSpaceDN/>
        <w:bidi w:val="0"/>
        <w:adjustRightInd/>
        <w:snapToGrid w:val="0"/>
        <w:spacing w:line="500" w:lineRule="exact"/>
        <w:textAlignment w:val="auto"/>
        <w:rPr>
          <w:rFonts w:hint="eastAsia" w:ascii="仿宋_GB2312" w:eastAsia="仿宋_GB2312"/>
          <w:sz w:val="24"/>
          <w:szCs w:val="24"/>
        </w:rPr>
      </w:pPr>
      <w:r>
        <w:rPr>
          <w:rFonts w:hint="eastAsia" w:ascii="仿宋_GB2312" w:eastAsia="仿宋_GB2312"/>
          <w:sz w:val="24"/>
          <w:szCs w:val="24"/>
        </w:rPr>
        <w:t>杨峰云  市统计局局长</w:t>
      </w:r>
    </w:p>
    <w:p>
      <w:pPr>
        <w:keepNext w:val="0"/>
        <w:keepLines w:val="0"/>
        <w:pageBreakBefore w:val="0"/>
        <w:widowControl w:val="0"/>
        <w:kinsoku/>
        <w:overflowPunct/>
        <w:topLinePunct w:val="0"/>
        <w:autoSpaceDE/>
        <w:autoSpaceDN/>
        <w:bidi w:val="0"/>
        <w:adjustRightInd/>
        <w:snapToGrid w:val="0"/>
        <w:spacing w:line="500" w:lineRule="exact"/>
        <w:textAlignment w:val="auto"/>
        <w:rPr>
          <w:rFonts w:hint="eastAsia" w:ascii="仿宋_GB2312" w:eastAsia="仿宋_GB2312"/>
          <w:sz w:val="24"/>
          <w:szCs w:val="24"/>
        </w:rPr>
      </w:pPr>
      <w:r>
        <w:rPr>
          <w:rFonts w:hint="eastAsia" w:ascii="仿宋_GB2312" w:eastAsia="仿宋_GB2312"/>
          <w:sz w:val="24"/>
          <w:szCs w:val="24"/>
        </w:rPr>
        <w:t>赵海平  市能源局局长</w:t>
      </w:r>
    </w:p>
    <w:p>
      <w:pPr>
        <w:keepNext w:val="0"/>
        <w:keepLines w:val="0"/>
        <w:pageBreakBefore w:val="0"/>
        <w:widowControl w:val="0"/>
        <w:kinsoku/>
        <w:overflowPunct/>
        <w:topLinePunct w:val="0"/>
        <w:autoSpaceDE/>
        <w:autoSpaceDN/>
        <w:bidi w:val="0"/>
        <w:adjustRightInd/>
        <w:snapToGrid w:val="0"/>
        <w:spacing w:line="500" w:lineRule="exact"/>
        <w:textAlignment w:val="auto"/>
        <w:rPr>
          <w:rFonts w:hint="eastAsia" w:ascii="仿宋_GB2312" w:eastAsia="仿宋_GB2312"/>
          <w:sz w:val="24"/>
          <w:szCs w:val="24"/>
        </w:rPr>
      </w:pPr>
      <w:r>
        <w:rPr>
          <w:rFonts w:hint="eastAsia" w:ascii="仿宋_GB2312" w:eastAsia="仿宋_GB2312"/>
          <w:sz w:val="24"/>
          <w:szCs w:val="24"/>
        </w:rPr>
        <w:t>李玉文  国网原平市供电公司经理</w:t>
      </w:r>
    </w:p>
    <w:p>
      <w:pPr>
        <w:keepNext w:val="0"/>
        <w:keepLines w:val="0"/>
        <w:pageBreakBefore w:val="0"/>
        <w:widowControl w:val="0"/>
        <w:kinsoku/>
        <w:overflowPunct/>
        <w:topLinePunct w:val="0"/>
        <w:autoSpaceDE/>
        <w:autoSpaceDN/>
        <w:bidi w:val="0"/>
        <w:adjustRightInd/>
        <w:snapToGrid w:val="0"/>
        <w:spacing w:line="500" w:lineRule="exact"/>
        <w:ind w:firstLine="480" w:firstLineChars="200"/>
        <w:textAlignment w:val="auto"/>
        <w:rPr>
          <w:rFonts w:hint="eastAsia" w:ascii="仿宋_GB2312" w:eastAsia="仿宋_GB2312"/>
          <w:sz w:val="24"/>
          <w:szCs w:val="24"/>
        </w:rPr>
      </w:pPr>
      <w:r>
        <w:rPr>
          <w:rFonts w:hint="eastAsia" w:ascii="仿宋_GB2312" w:eastAsia="仿宋_GB2312"/>
          <w:sz w:val="24"/>
          <w:szCs w:val="24"/>
        </w:rPr>
        <w:t>成  员：</w:t>
      </w:r>
    </w:p>
    <w:p>
      <w:pPr>
        <w:keepNext w:val="0"/>
        <w:keepLines w:val="0"/>
        <w:pageBreakBefore w:val="0"/>
        <w:widowControl w:val="0"/>
        <w:kinsoku/>
        <w:overflowPunct/>
        <w:topLinePunct w:val="0"/>
        <w:autoSpaceDE/>
        <w:autoSpaceDN/>
        <w:bidi w:val="0"/>
        <w:adjustRightInd/>
        <w:snapToGrid w:val="0"/>
        <w:spacing w:line="500" w:lineRule="exact"/>
        <w:ind w:firstLine="480" w:firstLineChars="200"/>
        <w:textAlignment w:val="auto"/>
        <w:rPr>
          <w:rFonts w:hint="eastAsia" w:ascii="仿宋_GB2312" w:eastAsia="仿宋_GB2312"/>
          <w:sz w:val="24"/>
          <w:szCs w:val="24"/>
        </w:rPr>
      </w:pPr>
      <w:r>
        <w:rPr>
          <w:rFonts w:hint="eastAsia" w:ascii="仿宋_GB2312" w:eastAsia="仿宋_GB2312"/>
          <w:sz w:val="24"/>
          <w:szCs w:val="24"/>
        </w:rPr>
        <w:t>刘继盛  市政协副主席、市财政局局长</w:t>
      </w:r>
    </w:p>
    <w:p>
      <w:pPr>
        <w:keepNext w:val="0"/>
        <w:keepLines w:val="0"/>
        <w:pageBreakBefore w:val="0"/>
        <w:widowControl w:val="0"/>
        <w:kinsoku/>
        <w:overflowPunct/>
        <w:topLinePunct w:val="0"/>
        <w:autoSpaceDE/>
        <w:autoSpaceDN/>
        <w:bidi w:val="0"/>
        <w:adjustRightInd/>
        <w:snapToGrid w:val="0"/>
        <w:spacing w:line="500" w:lineRule="exact"/>
        <w:textAlignment w:val="auto"/>
        <w:rPr>
          <w:rFonts w:hint="eastAsia" w:ascii="仿宋_GB2312" w:eastAsia="仿宋_GB2312"/>
          <w:sz w:val="24"/>
          <w:szCs w:val="24"/>
        </w:rPr>
      </w:pPr>
      <w:r>
        <w:rPr>
          <w:rFonts w:hint="eastAsia" w:ascii="仿宋_GB2312" w:eastAsia="仿宋_GB2312"/>
          <w:sz w:val="24"/>
          <w:szCs w:val="24"/>
        </w:rPr>
        <w:t>刘毅斌  市政府办公室副主任、</w:t>
      </w:r>
    </w:p>
    <w:p>
      <w:pPr>
        <w:keepNext w:val="0"/>
        <w:keepLines w:val="0"/>
        <w:pageBreakBefore w:val="0"/>
        <w:widowControl w:val="0"/>
        <w:kinsoku/>
        <w:overflowPunct/>
        <w:topLinePunct w:val="0"/>
        <w:autoSpaceDE/>
        <w:autoSpaceDN/>
        <w:bidi w:val="0"/>
        <w:adjustRightInd/>
        <w:snapToGrid w:val="0"/>
        <w:spacing w:line="500" w:lineRule="exact"/>
        <w:ind w:firstLine="1440" w:firstLineChars="600"/>
        <w:textAlignment w:val="auto"/>
        <w:rPr>
          <w:rFonts w:hint="eastAsia" w:ascii="仿宋_GB2312" w:eastAsia="仿宋_GB2312"/>
          <w:sz w:val="24"/>
          <w:szCs w:val="24"/>
        </w:rPr>
      </w:pPr>
      <w:r>
        <w:rPr>
          <w:rFonts w:hint="eastAsia" w:ascii="仿宋_GB2312" w:eastAsia="仿宋_GB2312"/>
          <w:sz w:val="24"/>
          <w:szCs w:val="24"/>
        </w:rPr>
        <w:t>市行政审批局局长</w:t>
      </w:r>
    </w:p>
    <w:p>
      <w:pPr>
        <w:keepNext w:val="0"/>
        <w:keepLines w:val="0"/>
        <w:pageBreakBefore w:val="0"/>
        <w:widowControl w:val="0"/>
        <w:kinsoku/>
        <w:overflowPunct/>
        <w:topLinePunct w:val="0"/>
        <w:autoSpaceDE/>
        <w:autoSpaceDN/>
        <w:bidi w:val="0"/>
        <w:adjustRightInd/>
        <w:snapToGrid w:val="0"/>
        <w:spacing w:line="500" w:lineRule="exact"/>
        <w:textAlignment w:val="auto"/>
        <w:rPr>
          <w:rFonts w:hint="eastAsia" w:ascii="仿宋_GB2312" w:eastAsia="仿宋_GB2312"/>
          <w:sz w:val="24"/>
          <w:szCs w:val="24"/>
        </w:rPr>
      </w:pPr>
      <w:r>
        <w:rPr>
          <w:rFonts w:hint="eastAsia" w:ascii="仿宋_GB2312" w:eastAsia="仿宋_GB2312"/>
          <w:sz w:val="24"/>
          <w:szCs w:val="24"/>
        </w:rPr>
        <w:t>郭景田  市发展改革局局长</w:t>
      </w:r>
    </w:p>
    <w:p>
      <w:pPr>
        <w:keepNext w:val="0"/>
        <w:keepLines w:val="0"/>
        <w:pageBreakBefore w:val="0"/>
        <w:widowControl w:val="0"/>
        <w:kinsoku/>
        <w:overflowPunct/>
        <w:topLinePunct w:val="0"/>
        <w:autoSpaceDE/>
        <w:autoSpaceDN/>
        <w:bidi w:val="0"/>
        <w:adjustRightInd/>
        <w:snapToGrid w:val="0"/>
        <w:spacing w:line="500" w:lineRule="exact"/>
        <w:textAlignment w:val="auto"/>
        <w:rPr>
          <w:rFonts w:hint="eastAsia" w:ascii="仿宋_GB2312" w:eastAsia="仿宋_GB2312"/>
          <w:sz w:val="24"/>
          <w:szCs w:val="24"/>
        </w:rPr>
      </w:pPr>
      <w:r>
        <w:rPr>
          <w:rFonts w:hint="eastAsia" w:ascii="仿宋_GB2312" w:eastAsia="仿宋_GB2312"/>
          <w:sz w:val="24"/>
          <w:szCs w:val="24"/>
        </w:rPr>
        <w:t xml:space="preserve">刘永顺  市教科局局长  </w:t>
      </w:r>
    </w:p>
    <w:p>
      <w:pPr>
        <w:keepNext w:val="0"/>
        <w:keepLines w:val="0"/>
        <w:pageBreakBefore w:val="0"/>
        <w:widowControl w:val="0"/>
        <w:kinsoku/>
        <w:overflowPunct/>
        <w:topLinePunct w:val="0"/>
        <w:autoSpaceDE/>
        <w:autoSpaceDN/>
        <w:bidi w:val="0"/>
        <w:adjustRightInd/>
        <w:snapToGrid w:val="0"/>
        <w:spacing w:line="500" w:lineRule="exact"/>
        <w:textAlignment w:val="auto"/>
        <w:rPr>
          <w:rFonts w:hint="eastAsia" w:ascii="仿宋_GB2312" w:eastAsia="仿宋_GB2312"/>
          <w:sz w:val="24"/>
          <w:szCs w:val="24"/>
        </w:rPr>
      </w:pPr>
      <w:r>
        <w:rPr>
          <w:rFonts w:hint="eastAsia" w:ascii="仿宋_GB2312" w:eastAsia="仿宋_GB2312"/>
          <w:sz w:val="24"/>
          <w:szCs w:val="24"/>
        </w:rPr>
        <w:t>赵建荣  市工信局局长</w:t>
      </w:r>
    </w:p>
    <w:p>
      <w:pPr>
        <w:keepNext w:val="0"/>
        <w:keepLines w:val="0"/>
        <w:pageBreakBefore w:val="0"/>
        <w:widowControl w:val="0"/>
        <w:kinsoku/>
        <w:overflowPunct/>
        <w:topLinePunct w:val="0"/>
        <w:autoSpaceDE/>
        <w:autoSpaceDN/>
        <w:bidi w:val="0"/>
        <w:adjustRightInd/>
        <w:snapToGrid w:val="0"/>
        <w:spacing w:line="500" w:lineRule="exact"/>
        <w:textAlignment w:val="auto"/>
        <w:rPr>
          <w:rFonts w:hint="eastAsia" w:ascii="仿宋_GB2312" w:eastAsia="仿宋_GB2312"/>
          <w:sz w:val="24"/>
          <w:szCs w:val="24"/>
        </w:rPr>
      </w:pPr>
      <w:r>
        <w:rPr>
          <w:rFonts w:hint="eastAsia" w:ascii="仿宋_GB2312" w:eastAsia="仿宋_GB2312"/>
          <w:sz w:val="24"/>
          <w:szCs w:val="24"/>
        </w:rPr>
        <w:t>王志胜  市自然资源局局长</w:t>
      </w:r>
    </w:p>
    <w:p>
      <w:pPr>
        <w:keepNext w:val="0"/>
        <w:keepLines w:val="0"/>
        <w:pageBreakBefore w:val="0"/>
        <w:widowControl w:val="0"/>
        <w:kinsoku/>
        <w:overflowPunct/>
        <w:topLinePunct w:val="0"/>
        <w:autoSpaceDE/>
        <w:autoSpaceDN/>
        <w:bidi w:val="0"/>
        <w:adjustRightInd/>
        <w:snapToGrid w:val="0"/>
        <w:spacing w:line="500" w:lineRule="exact"/>
        <w:textAlignment w:val="auto"/>
        <w:rPr>
          <w:rFonts w:hint="eastAsia" w:ascii="仿宋_GB2312" w:eastAsia="仿宋_GB2312"/>
          <w:sz w:val="24"/>
          <w:szCs w:val="24"/>
        </w:rPr>
      </w:pPr>
      <w:r>
        <w:rPr>
          <w:rFonts w:hint="eastAsia" w:ascii="仿宋_GB2312" w:eastAsia="仿宋_GB2312"/>
          <w:sz w:val="24"/>
          <w:szCs w:val="24"/>
        </w:rPr>
        <w:t>贾贽骏  市住房城乡建设局局长</w:t>
      </w:r>
    </w:p>
    <w:p>
      <w:pPr>
        <w:keepNext w:val="0"/>
        <w:keepLines w:val="0"/>
        <w:pageBreakBefore w:val="0"/>
        <w:widowControl w:val="0"/>
        <w:kinsoku/>
        <w:overflowPunct/>
        <w:topLinePunct w:val="0"/>
        <w:autoSpaceDE/>
        <w:autoSpaceDN/>
        <w:bidi w:val="0"/>
        <w:adjustRightInd/>
        <w:snapToGrid w:val="0"/>
        <w:spacing w:line="500" w:lineRule="exact"/>
        <w:textAlignment w:val="auto"/>
        <w:rPr>
          <w:rFonts w:hint="eastAsia" w:ascii="仿宋_GB2312" w:eastAsia="仿宋_GB2312"/>
          <w:sz w:val="24"/>
          <w:szCs w:val="24"/>
        </w:rPr>
      </w:pPr>
      <w:r>
        <w:rPr>
          <w:rFonts w:hint="eastAsia" w:ascii="仿宋_GB2312" w:eastAsia="仿宋_GB2312"/>
          <w:sz w:val="24"/>
          <w:szCs w:val="24"/>
        </w:rPr>
        <w:t>郑国梁  市交通运输局局长</w:t>
      </w:r>
    </w:p>
    <w:p>
      <w:pPr>
        <w:keepNext w:val="0"/>
        <w:keepLines w:val="0"/>
        <w:pageBreakBefore w:val="0"/>
        <w:widowControl w:val="0"/>
        <w:kinsoku/>
        <w:overflowPunct/>
        <w:topLinePunct w:val="0"/>
        <w:autoSpaceDE/>
        <w:autoSpaceDN/>
        <w:bidi w:val="0"/>
        <w:adjustRightInd/>
        <w:snapToGrid w:val="0"/>
        <w:spacing w:line="500" w:lineRule="exact"/>
        <w:textAlignment w:val="auto"/>
        <w:rPr>
          <w:rFonts w:hint="eastAsia" w:ascii="仿宋_GB2312" w:eastAsia="仿宋_GB2312"/>
          <w:sz w:val="24"/>
          <w:szCs w:val="24"/>
        </w:rPr>
      </w:pPr>
      <w:r>
        <w:rPr>
          <w:rFonts w:hint="eastAsia" w:ascii="仿宋_GB2312" w:eastAsia="仿宋_GB2312"/>
          <w:sz w:val="24"/>
          <w:szCs w:val="24"/>
        </w:rPr>
        <w:t>刘海生  市农业农村局局长</w:t>
      </w:r>
    </w:p>
    <w:p>
      <w:pPr>
        <w:keepNext w:val="0"/>
        <w:keepLines w:val="0"/>
        <w:pageBreakBefore w:val="0"/>
        <w:widowControl w:val="0"/>
        <w:kinsoku/>
        <w:overflowPunct/>
        <w:topLinePunct w:val="0"/>
        <w:autoSpaceDE/>
        <w:autoSpaceDN/>
        <w:bidi w:val="0"/>
        <w:adjustRightInd/>
        <w:snapToGrid w:val="0"/>
        <w:spacing w:line="500" w:lineRule="exact"/>
        <w:textAlignment w:val="auto"/>
        <w:rPr>
          <w:rFonts w:hint="eastAsia" w:ascii="仿宋_GB2312" w:eastAsia="仿宋_GB2312"/>
          <w:sz w:val="24"/>
          <w:szCs w:val="24"/>
        </w:rPr>
      </w:pPr>
      <w:r>
        <w:rPr>
          <w:rFonts w:hint="eastAsia" w:ascii="仿宋_GB2312" w:eastAsia="仿宋_GB2312"/>
          <w:sz w:val="24"/>
          <w:szCs w:val="24"/>
        </w:rPr>
        <w:t>陈建瑞  市商务局局长</w:t>
      </w:r>
    </w:p>
    <w:p>
      <w:pPr>
        <w:keepNext w:val="0"/>
        <w:keepLines w:val="0"/>
        <w:pageBreakBefore w:val="0"/>
        <w:widowControl w:val="0"/>
        <w:kinsoku/>
        <w:overflowPunct/>
        <w:topLinePunct w:val="0"/>
        <w:autoSpaceDE/>
        <w:autoSpaceDN/>
        <w:bidi w:val="0"/>
        <w:adjustRightInd/>
        <w:snapToGrid w:val="0"/>
        <w:spacing w:line="500" w:lineRule="exact"/>
        <w:textAlignment w:val="auto"/>
        <w:rPr>
          <w:rFonts w:hint="eastAsia" w:ascii="仿宋_GB2312" w:eastAsia="仿宋_GB2312"/>
          <w:sz w:val="24"/>
          <w:szCs w:val="24"/>
        </w:rPr>
      </w:pPr>
      <w:r>
        <w:rPr>
          <w:rFonts w:hint="eastAsia" w:ascii="仿宋_GB2312" w:eastAsia="仿宋_GB2312"/>
          <w:sz w:val="24"/>
          <w:szCs w:val="24"/>
        </w:rPr>
        <w:t>赵一初  市市场监管局局长</w:t>
      </w:r>
    </w:p>
    <w:p>
      <w:pPr>
        <w:keepNext w:val="0"/>
        <w:keepLines w:val="0"/>
        <w:pageBreakBefore w:val="0"/>
        <w:widowControl w:val="0"/>
        <w:kinsoku/>
        <w:overflowPunct/>
        <w:topLinePunct w:val="0"/>
        <w:autoSpaceDE/>
        <w:autoSpaceDN/>
        <w:bidi w:val="0"/>
        <w:adjustRightInd/>
        <w:snapToGrid w:val="0"/>
        <w:spacing w:line="500" w:lineRule="exact"/>
        <w:textAlignment w:val="auto"/>
        <w:rPr>
          <w:rFonts w:hint="eastAsia" w:ascii="仿宋_GB2312" w:eastAsia="仿宋_GB2312"/>
          <w:sz w:val="24"/>
          <w:szCs w:val="24"/>
        </w:rPr>
      </w:pPr>
      <w:r>
        <w:rPr>
          <w:rFonts w:hint="eastAsia" w:ascii="仿宋_GB2312" w:eastAsia="仿宋_GB2312"/>
          <w:sz w:val="24"/>
          <w:szCs w:val="24"/>
        </w:rPr>
        <w:t>齐志平  市税务局局长</w:t>
      </w:r>
    </w:p>
    <w:p>
      <w:pPr>
        <w:keepNext w:val="0"/>
        <w:keepLines w:val="0"/>
        <w:pageBreakBefore w:val="0"/>
        <w:widowControl w:val="0"/>
        <w:kinsoku/>
        <w:overflowPunct/>
        <w:topLinePunct w:val="0"/>
        <w:autoSpaceDE/>
        <w:autoSpaceDN/>
        <w:bidi w:val="0"/>
        <w:adjustRightInd/>
        <w:snapToGrid w:val="0"/>
        <w:spacing w:line="500" w:lineRule="exact"/>
        <w:textAlignment w:val="auto"/>
        <w:rPr>
          <w:rFonts w:hint="eastAsia" w:ascii="仿宋_GB2312" w:eastAsia="仿宋_GB2312"/>
          <w:spacing w:val="-11"/>
          <w:sz w:val="24"/>
          <w:szCs w:val="24"/>
        </w:rPr>
      </w:pPr>
      <w:r>
        <w:rPr>
          <w:rFonts w:hint="eastAsia" w:ascii="仿宋_GB2312" w:eastAsia="仿宋_GB2312"/>
          <w:sz w:val="24"/>
          <w:szCs w:val="24"/>
        </w:rPr>
        <w:t xml:space="preserve">张立柱  </w:t>
      </w:r>
      <w:r>
        <w:rPr>
          <w:rFonts w:hint="eastAsia" w:ascii="仿宋_GB2312" w:eastAsia="仿宋_GB2312"/>
          <w:spacing w:val="-11"/>
          <w:sz w:val="24"/>
          <w:szCs w:val="24"/>
        </w:rPr>
        <w:t>忻州市生态环境局原平分局局长</w:t>
      </w:r>
    </w:p>
    <w:p>
      <w:pPr>
        <w:keepNext w:val="0"/>
        <w:keepLines w:val="0"/>
        <w:pageBreakBefore w:val="0"/>
        <w:widowControl w:val="0"/>
        <w:kinsoku/>
        <w:overflowPunct/>
        <w:topLinePunct w:val="0"/>
        <w:autoSpaceDE/>
        <w:autoSpaceDN/>
        <w:bidi w:val="0"/>
        <w:adjustRightInd/>
        <w:snapToGrid w:val="0"/>
        <w:spacing w:line="500" w:lineRule="exact"/>
        <w:textAlignment w:val="auto"/>
        <w:rPr>
          <w:rFonts w:hint="eastAsia" w:ascii="仿宋_GB2312" w:eastAsia="仿宋_GB2312"/>
          <w:sz w:val="24"/>
          <w:szCs w:val="24"/>
        </w:rPr>
      </w:pPr>
      <w:r>
        <w:rPr>
          <w:rFonts w:hint="eastAsia" w:ascii="仿宋_GB2312" w:eastAsia="仿宋_GB2312"/>
          <w:sz w:val="24"/>
          <w:szCs w:val="24"/>
        </w:rPr>
        <w:t xml:space="preserve">裴晓强  市机关事务服务中心主任 </w:t>
      </w:r>
    </w:p>
    <w:p>
      <w:pPr>
        <w:keepNext w:val="0"/>
        <w:keepLines w:val="0"/>
        <w:pageBreakBefore w:val="0"/>
        <w:widowControl w:val="0"/>
        <w:kinsoku/>
        <w:overflowPunct/>
        <w:topLinePunct w:val="0"/>
        <w:autoSpaceDE/>
        <w:autoSpaceDN/>
        <w:bidi w:val="0"/>
        <w:adjustRightInd/>
        <w:snapToGrid w:val="0"/>
        <w:spacing w:line="500" w:lineRule="exact"/>
        <w:textAlignment w:val="auto"/>
        <w:rPr>
          <w:rFonts w:hint="eastAsia" w:ascii="仿宋_GB2312" w:eastAsia="仿宋_GB2312"/>
          <w:sz w:val="24"/>
          <w:szCs w:val="24"/>
        </w:rPr>
      </w:pPr>
      <w:r>
        <w:rPr>
          <w:rFonts w:hint="eastAsia" w:ascii="仿宋_GB2312" w:eastAsia="仿宋_GB2312"/>
          <w:sz w:val="24"/>
          <w:szCs w:val="24"/>
        </w:rPr>
        <w:t>赵建敏  市能源局一级主任科员</w:t>
      </w:r>
    </w:p>
    <w:p>
      <w:pPr>
        <w:keepNext w:val="0"/>
        <w:keepLines w:val="0"/>
        <w:pageBreakBefore w:val="0"/>
        <w:widowControl w:val="0"/>
        <w:kinsoku/>
        <w:overflowPunct/>
        <w:topLinePunct w:val="0"/>
        <w:autoSpaceDE/>
        <w:autoSpaceDN/>
        <w:bidi w:val="0"/>
        <w:adjustRightInd/>
        <w:snapToGrid w:val="0"/>
        <w:spacing w:line="500" w:lineRule="exact"/>
        <w:ind w:firstLine="480" w:firstLineChars="200"/>
        <w:textAlignment w:val="auto"/>
        <w:rPr>
          <w:rFonts w:hint="eastAsia" w:ascii="仿宋_GB2312" w:eastAsia="仿宋_GB2312"/>
          <w:sz w:val="24"/>
          <w:szCs w:val="24"/>
        </w:rPr>
      </w:pPr>
      <w:r>
        <w:rPr>
          <w:rFonts w:hint="eastAsia" w:ascii="仿宋_GB2312" w:eastAsia="仿宋_GB2312"/>
          <w:sz w:val="24"/>
          <w:szCs w:val="24"/>
        </w:rPr>
        <w:t>领导小组下设办公室，办公室设在市能源局，办公室主任由赵海平同志兼任，副主任由赵建敏同志担任。</w:t>
      </w:r>
    </w:p>
    <w:p>
      <w:pPr>
        <w:keepNext w:val="0"/>
        <w:keepLines w:val="0"/>
        <w:pageBreakBefore w:val="0"/>
        <w:widowControl w:val="0"/>
        <w:kinsoku/>
        <w:overflowPunct/>
        <w:topLinePunct w:val="0"/>
        <w:autoSpaceDE/>
        <w:autoSpaceDN/>
        <w:bidi w:val="0"/>
        <w:adjustRightInd/>
        <w:snapToGrid w:val="0"/>
        <w:spacing w:line="500" w:lineRule="exact"/>
        <w:textAlignment w:val="auto"/>
        <w:rPr>
          <w:rFonts w:hint="eastAsia" w:ascii="仿宋_GB2312" w:eastAsia="仿宋_GB2312"/>
          <w:sz w:val="24"/>
          <w:szCs w:val="24"/>
        </w:rPr>
      </w:pPr>
    </w:p>
    <w:p>
      <w:pPr>
        <w:keepNext w:val="0"/>
        <w:keepLines w:val="0"/>
        <w:pageBreakBefore w:val="0"/>
        <w:widowControl w:val="0"/>
        <w:kinsoku/>
        <w:overflowPunct/>
        <w:topLinePunct w:val="0"/>
        <w:autoSpaceDE/>
        <w:autoSpaceDN/>
        <w:bidi w:val="0"/>
        <w:adjustRightInd/>
        <w:snapToGrid w:val="0"/>
        <w:spacing w:line="500" w:lineRule="exact"/>
        <w:textAlignment w:val="auto"/>
        <w:rPr>
          <w:rFonts w:hint="eastAsia" w:ascii="仿宋_GB2312" w:eastAsia="仿宋_GB2312"/>
          <w:sz w:val="24"/>
          <w:szCs w:val="24"/>
        </w:rPr>
      </w:pPr>
    </w:p>
    <w:p>
      <w:pPr>
        <w:keepNext w:val="0"/>
        <w:keepLines w:val="0"/>
        <w:pageBreakBefore w:val="0"/>
        <w:widowControl w:val="0"/>
        <w:kinsoku/>
        <w:wordWrap/>
        <w:overflowPunct/>
        <w:topLinePunct w:val="0"/>
        <w:autoSpaceDE/>
        <w:autoSpaceDN/>
        <w:bidi w:val="0"/>
        <w:adjustRightInd/>
        <w:snapToGrid w:val="0"/>
        <w:spacing w:line="500" w:lineRule="exact"/>
        <w:jc w:val="center"/>
        <w:textAlignment w:val="auto"/>
        <w:rPr>
          <w:rFonts w:hint="eastAsia" w:ascii="仿宋_GB2312" w:eastAsia="仿宋_GB2312"/>
          <w:sz w:val="24"/>
          <w:szCs w:val="24"/>
        </w:rPr>
      </w:pPr>
      <w:r>
        <w:rPr>
          <w:rFonts w:hint="eastAsia" w:ascii="仿宋_GB2312" w:eastAsia="仿宋_GB2312"/>
          <w:sz w:val="24"/>
          <w:szCs w:val="24"/>
        </w:rPr>
        <w:t>原平市人民政府办公室</w:t>
      </w:r>
    </w:p>
    <w:p>
      <w:pPr>
        <w:keepNext w:val="0"/>
        <w:keepLines w:val="0"/>
        <w:pageBreakBefore w:val="0"/>
        <w:widowControl w:val="0"/>
        <w:kinsoku/>
        <w:wordWrap/>
        <w:overflowPunct/>
        <w:topLinePunct w:val="0"/>
        <w:autoSpaceDE/>
        <w:autoSpaceDN/>
        <w:bidi w:val="0"/>
        <w:adjustRightInd/>
        <w:snapToGrid w:val="0"/>
        <w:spacing w:line="500" w:lineRule="exact"/>
        <w:jc w:val="center"/>
        <w:textAlignment w:val="auto"/>
        <w:rPr>
          <w:rFonts w:hint="eastAsia" w:ascii="仿宋_GB2312" w:eastAsia="仿宋_GB2312"/>
          <w:sz w:val="24"/>
          <w:szCs w:val="24"/>
        </w:rPr>
      </w:pPr>
      <w:r>
        <w:rPr>
          <w:rFonts w:hint="eastAsia"/>
          <w:sz w:val="24"/>
          <w:szCs w:val="24"/>
          <w:lang w:val="en-US" w:eastAsia="zh-CN"/>
        </w:rPr>
        <w:t>2</w:t>
      </w:r>
      <w:r>
        <w:rPr>
          <w:rFonts w:hint="eastAsia" w:ascii="仿宋_GB2312" w:eastAsia="仿宋_GB2312"/>
          <w:sz w:val="24"/>
          <w:szCs w:val="24"/>
        </w:rPr>
        <w:t>022年9月1日</w:t>
      </w:r>
    </w:p>
    <w:p>
      <w:pPr>
        <w:keepNext w:val="0"/>
        <w:keepLines w:val="0"/>
        <w:pageBreakBefore w:val="0"/>
        <w:widowControl w:val="0"/>
        <w:kinsoku/>
        <w:overflowPunct/>
        <w:topLinePunct w:val="0"/>
        <w:autoSpaceDE/>
        <w:autoSpaceDN/>
        <w:bidi w:val="0"/>
        <w:adjustRightInd/>
        <w:snapToGrid w:val="0"/>
        <w:spacing w:line="500" w:lineRule="exact"/>
        <w:textAlignment w:val="auto"/>
        <w:rPr>
          <w:rFonts w:hint="eastAsia" w:ascii="仿宋_GB2312" w:eastAsia="仿宋_GB2312"/>
          <w:sz w:val="24"/>
          <w:szCs w:val="24"/>
        </w:rPr>
      </w:pPr>
      <w:r>
        <w:rPr>
          <w:rFonts w:hint="eastAsia" w:ascii="仿宋_GB2312" w:eastAsia="仿宋_GB2312"/>
          <w:sz w:val="24"/>
          <w:szCs w:val="24"/>
        </w:rPr>
        <w:br w:type="page"/>
      </w:r>
    </w:p>
    <w:p>
      <w:pPr>
        <w:spacing w:line="560" w:lineRule="exact"/>
        <w:jc w:val="right"/>
        <w:rPr>
          <w:rFonts w:ascii="仿宋_GB2312" w:hAnsi="宋体" w:eastAsia="仿宋_GB2312"/>
          <w:sz w:val="32"/>
          <w:szCs w:val="32"/>
        </w:rPr>
        <w:sectPr>
          <w:type w:val="continuous"/>
          <w:pgSz w:w="12240" w:h="16498"/>
          <w:pgMar w:top="1145" w:right="1389" w:bottom="1134" w:left="1389" w:header="1043" w:footer="992" w:gutter="0"/>
          <w:pgNumType w:fmt="decimal"/>
          <w:cols w:equalWidth="0" w:num="2">
            <w:col w:w="4518" w:space="425"/>
            <w:col w:w="4518"/>
          </w:cols>
          <w:rtlGutter w:val="0"/>
          <w:docGrid w:type="lines" w:linePitch="312" w:charSpace="0"/>
        </w:sectPr>
      </w:pPr>
    </w:p>
    <w:p>
      <w:pPr>
        <w:spacing w:line="560" w:lineRule="exact"/>
        <w:jc w:val="right"/>
        <w:rPr>
          <w:rFonts w:ascii="仿宋_GB2312" w:hAnsi="宋体" w:eastAsia="仿宋_GB2312"/>
          <w:sz w:val="32"/>
          <w:szCs w:val="32"/>
        </w:rPr>
      </w:pPr>
    </w:p>
    <w:p>
      <w:pPr>
        <w:pStyle w:val="2"/>
        <w:bidi w:val="0"/>
        <w:rPr>
          <w:rFonts w:hint="eastAsia"/>
        </w:rPr>
      </w:pPr>
      <w:bookmarkStart w:id="147" w:name="_Toc17018"/>
      <w:bookmarkStart w:id="148" w:name="_Toc14417"/>
      <w:r>
        <w:rPr>
          <w:rFonts w:hint="eastAsia"/>
        </w:rPr>
        <w:t>原平市人民政府办公室</w:t>
      </w:r>
      <w:bookmarkEnd w:id="147"/>
      <w:bookmarkEnd w:id="148"/>
    </w:p>
    <w:p>
      <w:pPr>
        <w:pStyle w:val="2"/>
        <w:bidi w:val="0"/>
        <w:rPr>
          <w:rFonts w:hint="eastAsia"/>
        </w:rPr>
      </w:pPr>
      <w:bookmarkStart w:id="149" w:name="_Toc20435"/>
      <w:bookmarkStart w:id="150" w:name="_Toc17649"/>
      <w:r>
        <w:rPr>
          <w:rFonts w:hint="eastAsia"/>
        </w:rPr>
        <w:t>关于成立原平市中医医院二期工程PPP项目</w:t>
      </w:r>
      <w:bookmarkEnd w:id="149"/>
      <w:bookmarkEnd w:id="150"/>
    </w:p>
    <w:p>
      <w:pPr>
        <w:pStyle w:val="2"/>
        <w:bidi w:val="0"/>
        <w:rPr>
          <w:rFonts w:hint="eastAsia"/>
        </w:rPr>
      </w:pPr>
      <w:bookmarkStart w:id="151" w:name="_Toc26420"/>
      <w:bookmarkStart w:id="152" w:name="_Toc29045"/>
      <w:r>
        <w:rPr>
          <w:rFonts w:hint="eastAsia"/>
        </w:rPr>
        <w:t>工作领导小组的通知</w:t>
      </w:r>
      <w:bookmarkEnd w:id="151"/>
      <w:bookmarkEnd w:id="152"/>
    </w:p>
    <w:p>
      <w:pPr>
        <w:spacing w:line="600" w:lineRule="exact"/>
        <w:ind w:left="0" w:leftChars="0" w:firstLine="0" w:firstLineChars="0"/>
        <w:jc w:val="center"/>
        <w:rPr>
          <w:rFonts w:hint="eastAsia" w:ascii="仿宋_GB2312" w:hAnsi="宋体" w:eastAsia="仿宋_GB2312"/>
          <w:sz w:val="24"/>
          <w:szCs w:val="24"/>
        </w:rPr>
      </w:pPr>
    </w:p>
    <w:p>
      <w:pPr>
        <w:pStyle w:val="3"/>
        <w:bidi w:val="0"/>
        <w:rPr>
          <w:rFonts w:hint="eastAsia"/>
        </w:rPr>
      </w:pPr>
      <w:bookmarkStart w:id="153" w:name="_Toc20338"/>
      <w:r>
        <w:rPr>
          <w:rFonts w:hint="eastAsia"/>
        </w:rPr>
        <w:t>原政办函〔</w:t>
      </w:r>
      <w:r>
        <w:t>202</w:t>
      </w:r>
      <w:r>
        <w:rPr>
          <w:rFonts w:hint="eastAsia"/>
        </w:rPr>
        <w:t>2〕23号</w:t>
      </w:r>
      <w:bookmarkEnd w:id="153"/>
    </w:p>
    <w:p>
      <w:pPr>
        <w:keepNext w:val="0"/>
        <w:keepLines w:val="0"/>
        <w:pageBreakBefore w:val="0"/>
        <w:widowControl w:val="0"/>
        <w:kinsoku/>
        <w:wordWrap/>
        <w:overflowPunct/>
        <w:topLinePunct w:val="0"/>
        <w:autoSpaceDE/>
        <w:autoSpaceDN/>
        <w:bidi w:val="0"/>
        <w:adjustRightInd/>
        <w:snapToGrid w:val="0"/>
        <w:spacing w:line="540" w:lineRule="exact"/>
        <w:ind w:left="0" w:leftChars="0" w:firstLine="0" w:firstLineChars="0"/>
        <w:textAlignment w:val="auto"/>
        <w:rPr>
          <w:rFonts w:hint="eastAsia" w:ascii="仿宋_GB2312" w:eastAsia="仿宋_GB2312"/>
          <w:sz w:val="24"/>
          <w:szCs w:val="24"/>
        </w:rPr>
      </w:pPr>
      <w:r>
        <w:rPr>
          <w:rFonts w:hint="eastAsia" w:ascii="仿宋_GB2312" w:eastAsia="仿宋_GB2312"/>
          <w:sz w:val="24"/>
          <w:szCs w:val="24"/>
        </w:rPr>
        <w:t>各乡（镇）人民政府，各有关单位：</w:t>
      </w:r>
    </w:p>
    <w:p>
      <w:pPr>
        <w:keepNext w:val="0"/>
        <w:keepLines w:val="0"/>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仿宋_GB2312" w:eastAsia="仿宋_GB2312"/>
          <w:sz w:val="24"/>
          <w:szCs w:val="24"/>
        </w:rPr>
      </w:pPr>
      <w:r>
        <w:rPr>
          <w:rFonts w:hint="eastAsia" w:ascii="仿宋_GB2312" w:eastAsia="仿宋_GB2312"/>
          <w:sz w:val="24"/>
          <w:szCs w:val="24"/>
        </w:rPr>
        <w:t>为加强我市中医医院二期工程PPP项目实施的组织领导，经市政府研究，决定成立原平市中医医院二期工程PPP项目工作领导小组。组成人员如下：</w:t>
      </w:r>
    </w:p>
    <w:p>
      <w:pPr>
        <w:keepNext w:val="0"/>
        <w:keepLines w:val="0"/>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仿宋_GB2312" w:eastAsia="仿宋_GB2312"/>
          <w:sz w:val="24"/>
          <w:szCs w:val="24"/>
        </w:rPr>
        <w:sectPr>
          <w:type w:val="continuous"/>
          <w:pgSz w:w="12240" w:h="16498"/>
          <w:pgMar w:top="1145" w:right="1389" w:bottom="1134" w:left="1389" w:header="1043" w:footer="992" w:gutter="0"/>
          <w:pgNumType w:fmt="decimal"/>
          <w:cols w:space="425"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仿宋_GB2312" w:eastAsia="仿宋_GB2312"/>
          <w:sz w:val="24"/>
          <w:szCs w:val="24"/>
        </w:rPr>
      </w:pPr>
      <w:r>
        <w:rPr>
          <w:rFonts w:hint="eastAsia" w:ascii="仿宋_GB2312" w:eastAsia="仿宋_GB2312"/>
          <w:sz w:val="24"/>
          <w:szCs w:val="24"/>
        </w:rPr>
        <w:t>组  长：</w:t>
      </w:r>
    </w:p>
    <w:p>
      <w:pPr>
        <w:keepNext w:val="0"/>
        <w:keepLines w:val="0"/>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仿宋_GB2312" w:eastAsia="仿宋_GB2312"/>
          <w:sz w:val="24"/>
          <w:szCs w:val="24"/>
        </w:rPr>
      </w:pPr>
      <w:r>
        <w:rPr>
          <w:rFonts w:hint="eastAsia" w:ascii="仿宋_GB2312" w:eastAsia="仿宋_GB2312"/>
          <w:sz w:val="24"/>
          <w:szCs w:val="24"/>
        </w:rPr>
        <w:t>申国华  市政府副市长</w:t>
      </w:r>
    </w:p>
    <w:p>
      <w:pPr>
        <w:keepNext w:val="0"/>
        <w:keepLines w:val="0"/>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仿宋_GB2312" w:eastAsia="仿宋_GB2312"/>
          <w:sz w:val="24"/>
          <w:szCs w:val="24"/>
        </w:rPr>
      </w:pPr>
      <w:r>
        <w:rPr>
          <w:rFonts w:hint="eastAsia" w:ascii="仿宋_GB2312" w:eastAsia="仿宋_GB2312"/>
          <w:sz w:val="24"/>
          <w:szCs w:val="24"/>
        </w:rPr>
        <w:t>副组长：</w:t>
      </w:r>
    </w:p>
    <w:p>
      <w:pPr>
        <w:keepNext w:val="0"/>
        <w:keepLines w:val="0"/>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仿宋_GB2312" w:eastAsia="仿宋_GB2312"/>
          <w:sz w:val="24"/>
          <w:szCs w:val="24"/>
        </w:rPr>
      </w:pPr>
      <w:r>
        <w:rPr>
          <w:rFonts w:hint="eastAsia" w:ascii="仿宋_GB2312" w:eastAsia="仿宋_GB2312"/>
          <w:sz w:val="24"/>
          <w:szCs w:val="24"/>
        </w:rPr>
        <w:t>刘继盛  市政协副主席、市财政局局长</w:t>
      </w:r>
    </w:p>
    <w:p>
      <w:pPr>
        <w:keepNext w:val="0"/>
        <w:keepLines w:val="0"/>
        <w:pageBreakBefore w:val="0"/>
        <w:widowControl w:val="0"/>
        <w:kinsoku/>
        <w:wordWrap/>
        <w:overflowPunct/>
        <w:topLinePunct w:val="0"/>
        <w:autoSpaceDE/>
        <w:autoSpaceDN/>
        <w:bidi w:val="0"/>
        <w:adjustRightInd/>
        <w:snapToGrid w:val="0"/>
        <w:spacing w:line="540" w:lineRule="exact"/>
        <w:textAlignment w:val="auto"/>
        <w:rPr>
          <w:rFonts w:hint="eastAsia" w:ascii="仿宋_GB2312" w:eastAsia="仿宋_GB2312"/>
          <w:sz w:val="24"/>
          <w:szCs w:val="24"/>
        </w:rPr>
      </w:pPr>
      <w:r>
        <w:rPr>
          <w:rFonts w:hint="eastAsia" w:ascii="仿宋_GB2312" w:eastAsia="仿宋_GB2312"/>
          <w:sz w:val="24"/>
          <w:szCs w:val="24"/>
        </w:rPr>
        <w:t>薛志敏  市政府办公室副主任</w:t>
      </w:r>
    </w:p>
    <w:p>
      <w:pPr>
        <w:keepNext w:val="0"/>
        <w:keepLines w:val="0"/>
        <w:pageBreakBefore w:val="0"/>
        <w:widowControl w:val="0"/>
        <w:kinsoku/>
        <w:wordWrap/>
        <w:overflowPunct/>
        <w:topLinePunct w:val="0"/>
        <w:autoSpaceDE/>
        <w:autoSpaceDN/>
        <w:bidi w:val="0"/>
        <w:adjustRightInd/>
        <w:snapToGrid w:val="0"/>
        <w:spacing w:line="540" w:lineRule="exact"/>
        <w:textAlignment w:val="auto"/>
        <w:rPr>
          <w:rFonts w:hint="eastAsia" w:ascii="仿宋_GB2312" w:eastAsia="仿宋_GB2312"/>
          <w:sz w:val="24"/>
          <w:szCs w:val="24"/>
        </w:rPr>
      </w:pPr>
      <w:r>
        <w:rPr>
          <w:rFonts w:hint="eastAsia" w:ascii="仿宋_GB2312" w:eastAsia="仿宋_GB2312"/>
          <w:sz w:val="24"/>
          <w:szCs w:val="24"/>
        </w:rPr>
        <w:t>聂皇卿  市卫生健康和体育局局长</w:t>
      </w:r>
    </w:p>
    <w:p>
      <w:pPr>
        <w:keepNext w:val="0"/>
        <w:keepLines w:val="0"/>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仿宋_GB2312" w:eastAsia="仿宋_GB2312"/>
          <w:sz w:val="24"/>
          <w:szCs w:val="24"/>
        </w:rPr>
      </w:pPr>
      <w:r>
        <w:rPr>
          <w:rFonts w:hint="eastAsia" w:ascii="仿宋_GB2312" w:eastAsia="仿宋_GB2312"/>
          <w:sz w:val="24"/>
          <w:szCs w:val="24"/>
        </w:rPr>
        <w:t>成  员：</w:t>
      </w:r>
    </w:p>
    <w:p>
      <w:pPr>
        <w:keepNext w:val="0"/>
        <w:keepLines w:val="0"/>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仿宋_GB2312" w:eastAsia="仿宋_GB2312"/>
          <w:sz w:val="24"/>
          <w:szCs w:val="24"/>
        </w:rPr>
      </w:pPr>
      <w:r>
        <w:rPr>
          <w:rFonts w:hint="eastAsia" w:ascii="仿宋_GB2312" w:eastAsia="仿宋_GB2312"/>
          <w:sz w:val="24"/>
          <w:szCs w:val="24"/>
        </w:rPr>
        <w:t>刘毅斌  市政府办公室副主任、</w:t>
      </w:r>
    </w:p>
    <w:p>
      <w:pPr>
        <w:keepNext w:val="0"/>
        <w:keepLines w:val="0"/>
        <w:pageBreakBefore w:val="0"/>
        <w:widowControl w:val="0"/>
        <w:kinsoku/>
        <w:wordWrap/>
        <w:overflowPunct/>
        <w:topLinePunct w:val="0"/>
        <w:autoSpaceDE/>
        <w:autoSpaceDN/>
        <w:bidi w:val="0"/>
        <w:adjustRightInd/>
        <w:snapToGrid w:val="0"/>
        <w:spacing w:line="540" w:lineRule="exact"/>
        <w:ind w:firstLine="1440" w:firstLineChars="600"/>
        <w:textAlignment w:val="auto"/>
        <w:rPr>
          <w:rFonts w:hint="eastAsia" w:ascii="仿宋_GB2312" w:eastAsia="仿宋_GB2312"/>
          <w:sz w:val="24"/>
          <w:szCs w:val="24"/>
        </w:rPr>
      </w:pPr>
      <w:r>
        <w:rPr>
          <w:rFonts w:hint="eastAsia" w:ascii="仿宋_GB2312" w:eastAsia="仿宋_GB2312"/>
          <w:sz w:val="24"/>
          <w:szCs w:val="24"/>
        </w:rPr>
        <w:t>市行政审批局局长</w:t>
      </w:r>
    </w:p>
    <w:p>
      <w:pPr>
        <w:keepNext w:val="0"/>
        <w:keepLines w:val="0"/>
        <w:pageBreakBefore w:val="0"/>
        <w:widowControl w:val="0"/>
        <w:kinsoku/>
        <w:wordWrap/>
        <w:overflowPunct/>
        <w:topLinePunct w:val="0"/>
        <w:autoSpaceDE/>
        <w:autoSpaceDN/>
        <w:bidi w:val="0"/>
        <w:adjustRightInd/>
        <w:snapToGrid w:val="0"/>
        <w:spacing w:line="540" w:lineRule="exact"/>
        <w:textAlignment w:val="auto"/>
        <w:rPr>
          <w:rFonts w:hint="eastAsia" w:ascii="仿宋_GB2312" w:eastAsia="仿宋_GB2312"/>
          <w:sz w:val="24"/>
          <w:szCs w:val="24"/>
        </w:rPr>
      </w:pPr>
      <w:r>
        <w:rPr>
          <w:rFonts w:hint="eastAsia" w:ascii="仿宋_GB2312" w:eastAsia="仿宋_GB2312"/>
          <w:sz w:val="24"/>
          <w:szCs w:val="24"/>
        </w:rPr>
        <w:t>郭景田  市发展改革局局长</w:t>
      </w:r>
    </w:p>
    <w:p>
      <w:pPr>
        <w:keepNext w:val="0"/>
        <w:keepLines w:val="0"/>
        <w:pageBreakBefore w:val="0"/>
        <w:widowControl w:val="0"/>
        <w:kinsoku/>
        <w:wordWrap/>
        <w:overflowPunct/>
        <w:topLinePunct w:val="0"/>
        <w:autoSpaceDE/>
        <w:autoSpaceDN/>
        <w:bidi w:val="0"/>
        <w:adjustRightInd/>
        <w:snapToGrid w:val="0"/>
        <w:spacing w:line="540" w:lineRule="exact"/>
        <w:textAlignment w:val="auto"/>
        <w:rPr>
          <w:rFonts w:hint="eastAsia" w:ascii="仿宋_GB2312" w:eastAsia="仿宋_GB2312"/>
          <w:sz w:val="24"/>
          <w:szCs w:val="24"/>
        </w:rPr>
      </w:pPr>
      <w:r>
        <w:rPr>
          <w:rFonts w:hint="eastAsia" w:ascii="仿宋_GB2312" w:eastAsia="仿宋_GB2312"/>
          <w:sz w:val="24"/>
          <w:szCs w:val="24"/>
        </w:rPr>
        <w:t>贾贽骏  市住房城乡建设局局长</w:t>
      </w:r>
    </w:p>
    <w:p>
      <w:pPr>
        <w:keepNext w:val="0"/>
        <w:keepLines w:val="0"/>
        <w:pageBreakBefore w:val="0"/>
        <w:widowControl w:val="0"/>
        <w:kinsoku/>
        <w:wordWrap/>
        <w:overflowPunct/>
        <w:topLinePunct w:val="0"/>
        <w:autoSpaceDE/>
        <w:autoSpaceDN/>
        <w:bidi w:val="0"/>
        <w:adjustRightInd/>
        <w:snapToGrid w:val="0"/>
        <w:spacing w:line="540" w:lineRule="exact"/>
        <w:textAlignment w:val="auto"/>
        <w:rPr>
          <w:rFonts w:hint="eastAsia" w:ascii="仿宋_GB2312" w:eastAsia="仿宋_GB2312"/>
          <w:sz w:val="24"/>
          <w:szCs w:val="24"/>
        </w:rPr>
      </w:pPr>
      <w:r>
        <w:rPr>
          <w:rFonts w:hint="eastAsia" w:ascii="仿宋_GB2312" w:eastAsia="仿宋_GB2312"/>
          <w:sz w:val="24"/>
          <w:szCs w:val="24"/>
        </w:rPr>
        <w:t xml:space="preserve">王志胜  市自然资源局局长 </w:t>
      </w:r>
    </w:p>
    <w:p>
      <w:pPr>
        <w:keepNext w:val="0"/>
        <w:keepLines w:val="0"/>
        <w:pageBreakBefore w:val="0"/>
        <w:widowControl w:val="0"/>
        <w:kinsoku/>
        <w:wordWrap/>
        <w:overflowPunct/>
        <w:topLinePunct w:val="0"/>
        <w:autoSpaceDE/>
        <w:autoSpaceDN/>
        <w:bidi w:val="0"/>
        <w:adjustRightInd/>
        <w:snapToGrid w:val="0"/>
        <w:spacing w:line="540" w:lineRule="exact"/>
        <w:textAlignment w:val="auto"/>
        <w:rPr>
          <w:rFonts w:hint="eastAsia" w:ascii="仿宋_GB2312" w:eastAsia="仿宋_GB2312"/>
          <w:sz w:val="24"/>
          <w:szCs w:val="24"/>
        </w:rPr>
      </w:pPr>
      <w:r>
        <w:rPr>
          <w:rFonts w:hint="eastAsia" w:ascii="仿宋_GB2312" w:eastAsia="仿宋_GB2312"/>
          <w:sz w:val="24"/>
          <w:szCs w:val="24"/>
        </w:rPr>
        <w:t>解建斌  市审计局负责人</w:t>
      </w:r>
    </w:p>
    <w:p>
      <w:pPr>
        <w:keepNext w:val="0"/>
        <w:keepLines w:val="0"/>
        <w:pageBreakBefore w:val="0"/>
        <w:widowControl w:val="0"/>
        <w:kinsoku/>
        <w:wordWrap/>
        <w:overflowPunct/>
        <w:topLinePunct w:val="0"/>
        <w:autoSpaceDE/>
        <w:autoSpaceDN/>
        <w:bidi w:val="0"/>
        <w:adjustRightInd/>
        <w:snapToGrid w:val="0"/>
        <w:spacing w:line="540" w:lineRule="exact"/>
        <w:textAlignment w:val="auto"/>
        <w:rPr>
          <w:rFonts w:hint="eastAsia" w:ascii="仿宋_GB2312" w:eastAsia="仿宋_GB2312"/>
          <w:sz w:val="24"/>
          <w:szCs w:val="24"/>
        </w:rPr>
      </w:pPr>
    </w:p>
    <w:p>
      <w:pPr>
        <w:keepNext w:val="0"/>
        <w:keepLines w:val="0"/>
        <w:pageBreakBefore w:val="0"/>
        <w:widowControl w:val="0"/>
        <w:kinsoku/>
        <w:wordWrap/>
        <w:overflowPunct/>
        <w:topLinePunct w:val="0"/>
        <w:autoSpaceDE/>
        <w:autoSpaceDN/>
        <w:bidi w:val="0"/>
        <w:adjustRightInd/>
        <w:snapToGrid w:val="0"/>
        <w:spacing w:line="540" w:lineRule="exact"/>
        <w:textAlignment w:val="auto"/>
        <w:rPr>
          <w:rFonts w:hint="eastAsia" w:ascii="仿宋_GB2312" w:eastAsia="仿宋_GB2312"/>
          <w:sz w:val="24"/>
          <w:szCs w:val="24"/>
        </w:rPr>
      </w:pPr>
      <w:r>
        <w:rPr>
          <w:rFonts w:hint="eastAsia" w:ascii="仿宋_GB2312" w:eastAsia="仿宋_GB2312"/>
          <w:sz w:val="24"/>
          <w:szCs w:val="24"/>
        </w:rPr>
        <w:t xml:space="preserve">张立柱  </w:t>
      </w:r>
      <w:r>
        <w:rPr>
          <w:rFonts w:hint="eastAsia" w:ascii="仿宋_GB2312" w:eastAsia="仿宋_GB2312"/>
          <w:spacing w:val="-11"/>
          <w:sz w:val="24"/>
          <w:szCs w:val="24"/>
        </w:rPr>
        <w:t>忻州市生态环境局原平分局局长</w:t>
      </w:r>
    </w:p>
    <w:p>
      <w:pPr>
        <w:keepNext w:val="0"/>
        <w:keepLines w:val="0"/>
        <w:pageBreakBefore w:val="0"/>
        <w:widowControl w:val="0"/>
        <w:kinsoku/>
        <w:wordWrap/>
        <w:overflowPunct/>
        <w:topLinePunct w:val="0"/>
        <w:autoSpaceDE/>
        <w:autoSpaceDN/>
        <w:bidi w:val="0"/>
        <w:adjustRightInd/>
        <w:snapToGrid w:val="0"/>
        <w:spacing w:line="540" w:lineRule="exact"/>
        <w:textAlignment w:val="auto"/>
        <w:rPr>
          <w:rFonts w:hint="eastAsia" w:ascii="仿宋_GB2312" w:eastAsia="仿宋_GB2312"/>
          <w:sz w:val="24"/>
          <w:szCs w:val="24"/>
        </w:rPr>
      </w:pPr>
      <w:r>
        <w:rPr>
          <w:rFonts w:hint="eastAsia" w:ascii="仿宋_GB2312" w:eastAsia="仿宋_GB2312"/>
          <w:sz w:val="24"/>
          <w:szCs w:val="24"/>
        </w:rPr>
        <w:t>刘冠星  吉祥街道党工委书记</w:t>
      </w:r>
    </w:p>
    <w:p>
      <w:pPr>
        <w:keepNext w:val="0"/>
        <w:keepLines w:val="0"/>
        <w:pageBreakBefore w:val="0"/>
        <w:widowControl w:val="0"/>
        <w:kinsoku/>
        <w:wordWrap/>
        <w:overflowPunct/>
        <w:topLinePunct w:val="0"/>
        <w:autoSpaceDE/>
        <w:autoSpaceDN/>
        <w:bidi w:val="0"/>
        <w:adjustRightInd/>
        <w:snapToGrid w:val="0"/>
        <w:spacing w:line="540" w:lineRule="exact"/>
        <w:textAlignment w:val="auto"/>
        <w:rPr>
          <w:rFonts w:hint="eastAsia" w:ascii="仿宋_GB2312" w:eastAsia="仿宋_GB2312"/>
          <w:sz w:val="24"/>
          <w:szCs w:val="24"/>
        </w:rPr>
      </w:pPr>
      <w:r>
        <w:rPr>
          <w:rFonts w:hint="eastAsia" w:ascii="仿宋_GB2312" w:eastAsia="仿宋_GB2312"/>
          <w:sz w:val="24"/>
          <w:szCs w:val="24"/>
        </w:rPr>
        <w:t>秦江平  市卫生健康和体育局副局长</w:t>
      </w:r>
    </w:p>
    <w:p>
      <w:pPr>
        <w:keepNext w:val="0"/>
        <w:keepLines w:val="0"/>
        <w:pageBreakBefore w:val="0"/>
        <w:widowControl w:val="0"/>
        <w:kinsoku/>
        <w:wordWrap/>
        <w:overflowPunct/>
        <w:topLinePunct w:val="0"/>
        <w:autoSpaceDE/>
        <w:autoSpaceDN/>
        <w:bidi w:val="0"/>
        <w:adjustRightInd/>
        <w:snapToGrid w:val="0"/>
        <w:spacing w:line="540" w:lineRule="exact"/>
        <w:textAlignment w:val="auto"/>
        <w:rPr>
          <w:rFonts w:hint="eastAsia" w:ascii="仿宋_GB2312" w:eastAsia="仿宋_GB2312"/>
          <w:sz w:val="24"/>
          <w:szCs w:val="24"/>
        </w:rPr>
      </w:pPr>
      <w:r>
        <w:rPr>
          <w:rFonts w:hint="eastAsia" w:ascii="仿宋_GB2312" w:eastAsia="仿宋_GB2312"/>
          <w:sz w:val="24"/>
          <w:szCs w:val="24"/>
        </w:rPr>
        <w:t>李凛斌  市中医医院院长</w:t>
      </w:r>
    </w:p>
    <w:p>
      <w:pPr>
        <w:keepNext w:val="0"/>
        <w:keepLines w:val="0"/>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仿宋_GB2312" w:eastAsia="仿宋_GB2312"/>
          <w:sz w:val="24"/>
          <w:szCs w:val="24"/>
        </w:rPr>
      </w:pPr>
      <w:r>
        <w:rPr>
          <w:rFonts w:hint="eastAsia" w:ascii="仿宋_GB2312" w:eastAsia="仿宋_GB2312"/>
          <w:sz w:val="24"/>
          <w:szCs w:val="24"/>
        </w:rPr>
        <w:t>领导小组下设办公室，办公室设在市卫生健康和体育局，办公室主任由聂皇卿同志兼任，办公室副主任由秦江平和李凛斌同志担任。</w:t>
      </w:r>
    </w:p>
    <w:p>
      <w:pPr>
        <w:keepNext w:val="0"/>
        <w:keepLines w:val="0"/>
        <w:pageBreakBefore w:val="0"/>
        <w:widowControl w:val="0"/>
        <w:kinsoku/>
        <w:wordWrap/>
        <w:overflowPunct/>
        <w:topLinePunct w:val="0"/>
        <w:autoSpaceDE/>
        <w:autoSpaceDN/>
        <w:bidi w:val="0"/>
        <w:adjustRightInd/>
        <w:snapToGrid w:val="0"/>
        <w:spacing w:line="540" w:lineRule="exact"/>
        <w:textAlignment w:val="auto"/>
        <w:rPr>
          <w:rFonts w:hint="eastAsia" w:ascii="仿宋_GB2312" w:eastAsia="仿宋_GB2312"/>
          <w:sz w:val="24"/>
          <w:szCs w:val="24"/>
        </w:rPr>
      </w:pPr>
    </w:p>
    <w:p>
      <w:pPr>
        <w:keepNext w:val="0"/>
        <w:keepLines w:val="0"/>
        <w:pageBreakBefore w:val="0"/>
        <w:widowControl w:val="0"/>
        <w:kinsoku/>
        <w:wordWrap/>
        <w:overflowPunct/>
        <w:topLinePunct w:val="0"/>
        <w:autoSpaceDE/>
        <w:autoSpaceDN/>
        <w:bidi w:val="0"/>
        <w:adjustRightInd/>
        <w:snapToGrid w:val="0"/>
        <w:spacing w:line="540" w:lineRule="exact"/>
        <w:textAlignment w:val="auto"/>
        <w:rPr>
          <w:rFonts w:hint="eastAsia" w:ascii="仿宋_GB2312" w:eastAsia="仿宋_GB2312"/>
          <w:sz w:val="24"/>
          <w:szCs w:val="24"/>
        </w:rPr>
      </w:pPr>
    </w:p>
    <w:p>
      <w:pPr>
        <w:keepNext w:val="0"/>
        <w:keepLines w:val="0"/>
        <w:pageBreakBefore w:val="0"/>
        <w:widowControl w:val="0"/>
        <w:kinsoku/>
        <w:wordWrap/>
        <w:overflowPunct/>
        <w:topLinePunct w:val="0"/>
        <w:autoSpaceDE/>
        <w:autoSpaceDN/>
        <w:bidi w:val="0"/>
        <w:adjustRightInd/>
        <w:snapToGrid w:val="0"/>
        <w:spacing w:line="540" w:lineRule="exact"/>
        <w:jc w:val="center"/>
        <w:textAlignment w:val="auto"/>
        <w:rPr>
          <w:rFonts w:hint="eastAsia" w:ascii="仿宋_GB2312" w:eastAsia="仿宋_GB2312"/>
          <w:sz w:val="24"/>
          <w:szCs w:val="24"/>
        </w:rPr>
      </w:pPr>
      <w:r>
        <w:rPr>
          <w:rFonts w:hint="eastAsia" w:ascii="仿宋_GB2312" w:eastAsia="仿宋_GB2312"/>
          <w:sz w:val="24"/>
          <w:szCs w:val="24"/>
        </w:rPr>
        <w:t>原平市人民政府办公室</w:t>
      </w:r>
    </w:p>
    <w:p>
      <w:pPr>
        <w:keepNext w:val="0"/>
        <w:keepLines w:val="0"/>
        <w:pageBreakBefore w:val="0"/>
        <w:widowControl w:val="0"/>
        <w:kinsoku/>
        <w:wordWrap/>
        <w:overflowPunct/>
        <w:topLinePunct w:val="0"/>
        <w:autoSpaceDE/>
        <w:autoSpaceDN/>
        <w:bidi w:val="0"/>
        <w:adjustRightInd/>
        <w:snapToGrid w:val="0"/>
        <w:spacing w:line="540" w:lineRule="exact"/>
        <w:jc w:val="center"/>
        <w:textAlignment w:val="auto"/>
        <w:rPr>
          <w:rFonts w:hint="eastAsia" w:ascii="仿宋_GB2312" w:eastAsia="仿宋_GB2312"/>
          <w:sz w:val="24"/>
          <w:szCs w:val="24"/>
        </w:rPr>
      </w:pPr>
      <w:r>
        <w:rPr>
          <w:rFonts w:hint="eastAsia" w:ascii="仿宋_GB2312" w:eastAsia="仿宋_GB2312"/>
          <w:sz w:val="24"/>
          <w:szCs w:val="24"/>
        </w:rPr>
        <w:t>2022年9月29日</w:t>
      </w:r>
    </w:p>
    <w:p>
      <w:pPr>
        <w:pStyle w:val="2"/>
        <w:bidi w:val="0"/>
        <w:rPr>
          <w:rFonts w:hint="eastAsia"/>
        </w:rPr>
      </w:pPr>
    </w:p>
    <w:p>
      <w:pPr>
        <w:pStyle w:val="2"/>
        <w:bidi w:val="0"/>
        <w:rPr>
          <w:rFonts w:hint="eastAsia"/>
        </w:rPr>
        <w:sectPr>
          <w:type w:val="continuous"/>
          <w:pgSz w:w="12240" w:h="16498"/>
          <w:pgMar w:top="1145" w:right="1389" w:bottom="1134" w:left="1389" w:header="1043" w:footer="992" w:gutter="0"/>
          <w:pgNumType w:fmt="decimal"/>
          <w:cols w:equalWidth="0" w:num="2">
            <w:col w:w="4518" w:space="425"/>
            <w:col w:w="4518"/>
          </w:cols>
          <w:rtlGutter w:val="0"/>
          <w:docGrid w:type="lines" w:linePitch="312" w:charSpace="0"/>
        </w:sectPr>
      </w:pPr>
    </w:p>
    <w:p>
      <w:pPr>
        <w:rPr>
          <w:rFonts w:hint="eastAsia"/>
        </w:rPr>
      </w:pPr>
    </w:p>
    <w:p>
      <w:pPr>
        <w:rPr>
          <w:rFonts w:hint="eastAsia"/>
        </w:rPr>
      </w:pPr>
    </w:p>
    <w:p>
      <w:pPr>
        <w:pStyle w:val="2"/>
        <w:bidi w:val="0"/>
        <w:rPr>
          <w:rFonts w:hint="eastAsia"/>
        </w:rPr>
      </w:pPr>
      <w:bookmarkStart w:id="154" w:name="_Toc15100"/>
      <w:bookmarkStart w:id="155" w:name="_Toc29524"/>
      <w:r>
        <w:rPr>
          <w:rFonts w:hint="eastAsia"/>
        </w:rPr>
        <w:t>原平市人民政府办公室</w:t>
      </w:r>
      <w:bookmarkEnd w:id="154"/>
      <w:bookmarkEnd w:id="155"/>
    </w:p>
    <w:p>
      <w:pPr>
        <w:pStyle w:val="2"/>
        <w:bidi w:val="0"/>
        <w:rPr>
          <w:rFonts w:hint="eastAsia"/>
        </w:rPr>
      </w:pPr>
      <w:bookmarkStart w:id="156" w:name="_Toc28883"/>
      <w:bookmarkStart w:id="157" w:name="_Toc21707"/>
      <w:r>
        <w:rPr>
          <w:rFonts w:hint="eastAsia"/>
        </w:rPr>
        <w:t>关于成立推进县域义务教育优质均衡发展</w:t>
      </w:r>
      <w:bookmarkEnd w:id="156"/>
      <w:bookmarkEnd w:id="157"/>
    </w:p>
    <w:p>
      <w:pPr>
        <w:pStyle w:val="2"/>
        <w:bidi w:val="0"/>
        <w:rPr>
          <w:rFonts w:hint="eastAsia"/>
        </w:rPr>
      </w:pPr>
      <w:bookmarkStart w:id="158" w:name="_Toc32503"/>
      <w:bookmarkStart w:id="159" w:name="_Toc24641"/>
      <w:r>
        <w:rPr>
          <w:rFonts w:hint="eastAsia"/>
        </w:rPr>
        <w:t>工作专班的通知</w:t>
      </w:r>
      <w:bookmarkEnd w:id="158"/>
      <w:bookmarkEnd w:id="159"/>
    </w:p>
    <w:p>
      <w:pPr>
        <w:ind w:left="0" w:leftChars="0" w:firstLine="0" w:firstLineChars="0"/>
        <w:jc w:val="center"/>
        <w:rPr>
          <w:rFonts w:hint="eastAsia" w:ascii="仿宋_GB2312" w:eastAsia="仿宋_GB2312"/>
          <w:sz w:val="24"/>
          <w:szCs w:val="24"/>
        </w:rPr>
      </w:pPr>
    </w:p>
    <w:p>
      <w:pPr>
        <w:pStyle w:val="3"/>
        <w:bidi w:val="0"/>
        <w:rPr>
          <w:rFonts w:hint="eastAsia"/>
        </w:rPr>
      </w:pPr>
      <w:bookmarkStart w:id="160" w:name="_Toc10427"/>
      <w:r>
        <w:rPr>
          <w:rFonts w:hint="eastAsia"/>
        </w:rPr>
        <w:t>原政办函〔2022〕25号</w:t>
      </w:r>
      <w:bookmarkEnd w:id="160"/>
    </w:p>
    <w:p>
      <w:pPr>
        <w:keepNext w:val="0"/>
        <w:keepLines w:val="0"/>
        <w:pageBreakBefore w:val="0"/>
        <w:widowControl w:val="0"/>
        <w:kinsoku/>
        <w:overflowPunct/>
        <w:topLinePunct w:val="0"/>
        <w:autoSpaceDE/>
        <w:autoSpaceDN/>
        <w:bidi w:val="0"/>
        <w:adjustRightInd/>
        <w:snapToGrid w:val="0"/>
        <w:spacing w:line="520" w:lineRule="exact"/>
        <w:ind w:left="0" w:leftChars="0" w:firstLine="0" w:firstLineChars="0"/>
        <w:textAlignment w:val="auto"/>
        <w:rPr>
          <w:rFonts w:hint="eastAsia" w:ascii="仿宋_GB2312" w:hAnsi="仿宋" w:eastAsia="仿宋_GB2312" w:cs="宋体"/>
          <w:color w:val="000000"/>
          <w:kern w:val="0"/>
          <w:sz w:val="24"/>
          <w:szCs w:val="24"/>
        </w:rPr>
        <w:sectPr>
          <w:type w:val="continuous"/>
          <w:pgSz w:w="12240" w:h="16498"/>
          <w:pgMar w:top="1145" w:right="1389" w:bottom="1134" w:left="1389" w:header="1043" w:footer="992" w:gutter="0"/>
          <w:pgNumType w:fmt="decimal"/>
          <w:cols w:space="425"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val="0"/>
        <w:spacing w:line="540" w:lineRule="exact"/>
        <w:ind w:left="0" w:leftChars="0" w:firstLine="0" w:firstLineChars="0"/>
        <w:textAlignment w:val="auto"/>
        <w:rPr>
          <w:rFonts w:hint="eastAsia" w:ascii="仿宋_GB2312" w:hAnsi="仿宋" w:eastAsia="仿宋_GB2312" w:cs="宋体"/>
          <w:color w:val="000000"/>
          <w:kern w:val="0"/>
          <w:sz w:val="24"/>
          <w:szCs w:val="24"/>
        </w:rPr>
      </w:pPr>
      <w:r>
        <w:rPr>
          <w:rFonts w:hint="eastAsia" w:ascii="仿宋_GB2312" w:hAnsi="仿宋" w:eastAsia="仿宋_GB2312" w:cs="宋体"/>
          <w:color w:val="000000"/>
          <w:kern w:val="0"/>
          <w:sz w:val="24"/>
          <w:szCs w:val="24"/>
        </w:rPr>
        <w:t>各乡（镇）人民政府，各有关单位：</w:t>
      </w:r>
    </w:p>
    <w:p>
      <w:pPr>
        <w:keepNext w:val="0"/>
        <w:keepLines w:val="0"/>
        <w:pageBreakBefore w:val="0"/>
        <w:widowControl w:val="0"/>
        <w:kinsoku/>
        <w:wordWrap/>
        <w:overflowPunct/>
        <w:topLinePunct w:val="0"/>
        <w:autoSpaceDE/>
        <w:autoSpaceDN/>
        <w:bidi w:val="0"/>
        <w:adjustRightInd/>
        <w:snapToGrid w:val="0"/>
        <w:spacing w:line="540" w:lineRule="exact"/>
        <w:ind w:firstLine="615"/>
        <w:textAlignment w:val="auto"/>
        <w:rPr>
          <w:rFonts w:hint="eastAsia" w:ascii="仿宋_GB2312" w:eastAsia="仿宋_GB2312"/>
          <w:sz w:val="24"/>
          <w:szCs w:val="24"/>
        </w:rPr>
      </w:pPr>
      <w:r>
        <w:rPr>
          <w:rFonts w:hint="eastAsia" w:ascii="仿宋_GB2312" w:eastAsia="仿宋_GB2312"/>
          <w:sz w:val="24"/>
          <w:szCs w:val="24"/>
        </w:rPr>
        <w:t>为促进我市义务教育事业持续健康发展，全面提升义务教育质量和水平，推动义务教育由基本均衡向更高标准的优质均衡发展迈进，确保义务教育优质均衡发展创建工作如期完成，经市政府研究，决定成立推进县域义务教育优质均衡发展工作专班，组成人员如下：</w:t>
      </w:r>
    </w:p>
    <w:p>
      <w:pPr>
        <w:keepNext w:val="0"/>
        <w:keepLines w:val="0"/>
        <w:pageBreakBefore w:val="0"/>
        <w:widowControl w:val="0"/>
        <w:kinsoku/>
        <w:wordWrap/>
        <w:overflowPunct/>
        <w:topLinePunct w:val="0"/>
        <w:autoSpaceDE/>
        <w:autoSpaceDN/>
        <w:bidi w:val="0"/>
        <w:adjustRightInd/>
        <w:snapToGrid w:val="0"/>
        <w:spacing w:line="540" w:lineRule="exact"/>
        <w:ind w:firstLine="520" w:firstLineChars="200"/>
        <w:textAlignment w:val="auto"/>
        <w:rPr>
          <w:rFonts w:hint="eastAsia" w:ascii="黑体" w:hAnsi="黑体" w:eastAsia="黑体"/>
          <w:sz w:val="26"/>
          <w:szCs w:val="26"/>
        </w:rPr>
        <w:sectPr>
          <w:type w:val="continuous"/>
          <w:pgSz w:w="12240" w:h="16498"/>
          <w:pgMar w:top="1145" w:right="1389" w:bottom="1134" w:left="1389" w:header="1043" w:footer="992" w:gutter="0"/>
          <w:pgNumType w:fmt="decimal"/>
          <w:cols w:space="425"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val="0"/>
        <w:spacing w:line="540" w:lineRule="exact"/>
        <w:ind w:firstLine="520" w:firstLineChars="200"/>
        <w:textAlignment w:val="auto"/>
        <w:rPr>
          <w:rFonts w:ascii="黑体" w:hAnsi="黑体" w:eastAsia="黑体"/>
          <w:sz w:val="26"/>
          <w:szCs w:val="26"/>
        </w:rPr>
      </w:pPr>
      <w:r>
        <w:rPr>
          <w:rFonts w:hint="eastAsia" w:ascii="黑体" w:hAnsi="黑体" w:eastAsia="黑体"/>
          <w:sz w:val="26"/>
          <w:szCs w:val="26"/>
        </w:rPr>
        <w:t>一、组织机构</w:t>
      </w:r>
    </w:p>
    <w:p>
      <w:pPr>
        <w:keepNext w:val="0"/>
        <w:keepLines w:val="0"/>
        <w:pageBreakBefore w:val="0"/>
        <w:widowControl w:val="0"/>
        <w:kinsoku/>
        <w:wordWrap/>
        <w:overflowPunct/>
        <w:topLinePunct w:val="0"/>
        <w:autoSpaceDE/>
        <w:autoSpaceDN/>
        <w:bidi w:val="0"/>
        <w:adjustRightInd/>
        <w:snapToGrid w:val="0"/>
        <w:spacing w:line="540" w:lineRule="exact"/>
        <w:textAlignment w:val="auto"/>
        <w:rPr>
          <w:rFonts w:hint="eastAsia" w:ascii="仿宋_GB2312" w:eastAsia="仿宋_GB2312"/>
          <w:sz w:val="24"/>
          <w:szCs w:val="24"/>
        </w:rPr>
      </w:pPr>
      <w:r>
        <w:rPr>
          <w:rFonts w:hint="eastAsia" w:ascii="仿宋_GB2312" w:eastAsia="仿宋_GB2312"/>
          <w:sz w:val="24"/>
          <w:szCs w:val="24"/>
        </w:rPr>
        <w:t xml:space="preserve">组 </w:t>
      </w:r>
      <w:r>
        <w:rPr>
          <w:rFonts w:ascii="仿宋_GB2312" w:eastAsia="仿宋_GB2312"/>
          <w:sz w:val="24"/>
          <w:szCs w:val="24"/>
        </w:rPr>
        <w:t xml:space="preserve"> </w:t>
      </w:r>
      <w:r>
        <w:rPr>
          <w:rFonts w:hint="eastAsia" w:ascii="仿宋_GB2312" w:eastAsia="仿宋_GB2312"/>
          <w:sz w:val="24"/>
          <w:szCs w:val="24"/>
        </w:rPr>
        <w:t>长：</w:t>
      </w:r>
    </w:p>
    <w:p>
      <w:pPr>
        <w:keepNext w:val="0"/>
        <w:keepLines w:val="0"/>
        <w:pageBreakBefore w:val="0"/>
        <w:widowControl w:val="0"/>
        <w:kinsoku/>
        <w:wordWrap/>
        <w:overflowPunct/>
        <w:topLinePunct w:val="0"/>
        <w:autoSpaceDE/>
        <w:autoSpaceDN/>
        <w:bidi w:val="0"/>
        <w:adjustRightInd/>
        <w:snapToGrid w:val="0"/>
        <w:spacing w:line="540" w:lineRule="exact"/>
        <w:textAlignment w:val="auto"/>
        <w:rPr>
          <w:rFonts w:ascii="仿宋_GB2312" w:eastAsia="仿宋_GB2312"/>
          <w:sz w:val="24"/>
          <w:szCs w:val="24"/>
        </w:rPr>
      </w:pPr>
      <w:r>
        <w:rPr>
          <w:rFonts w:hint="eastAsia" w:ascii="仿宋_GB2312" w:eastAsia="仿宋_GB2312"/>
          <w:sz w:val="24"/>
          <w:szCs w:val="24"/>
        </w:rPr>
        <w:t>常永峰  市委副书记、市长</w:t>
      </w:r>
    </w:p>
    <w:p>
      <w:pPr>
        <w:keepNext w:val="0"/>
        <w:keepLines w:val="0"/>
        <w:pageBreakBefore w:val="0"/>
        <w:widowControl w:val="0"/>
        <w:kinsoku/>
        <w:wordWrap/>
        <w:overflowPunct/>
        <w:topLinePunct w:val="0"/>
        <w:autoSpaceDE/>
        <w:autoSpaceDN/>
        <w:bidi w:val="0"/>
        <w:adjustRightInd/>
        <w:snapToGrid w:val="0"/>
        <w:spacing w:line="540" w:lineRule="exact"/>
        <w:textAlignment w:val="auto"/>
        <w:rPr>
          <w:rFonts w:hint="eastAsia" w:ascii="仿宋_GB2312" w:eastAsia="仿宋_GB2312"/>
          <w:sz w:val="24"/>
          <w:szCs w:val="24"/>
        </w:rPr>
      </w:pPr>
      <w:r>
        <w:rPr>
          <w:rFonts w:hint="eastAsia" w:ascii="仿宋_GB2312" w:eastAsia="仿宋_GB2312"/>
          <w:sz w:val="24"/>
          <w:szCs w:val="24"/>
        </w:rPr>
        <w:t>副组长：</w:t>
      </w:r>
    </w:p>
    <w:p>
      <w:pPr>
        <w:keepNext w:val="0"/>
        <w:keepLines w:val="0"/>
        <w:pageBreakBefore w:val="0"/>
        <w:widowControl w:val="0"/>
        <w:kinsoku/>
        <w:wordWrap/>
        <w:overflowPunct/>
        <w:topLinePunct w:val="0"/>
        <w:autoSpaceDE/>
        <w:autoSpaceDN/>
        <w:bidi w:val="0"/>
        <w:adjustRightInd/>
        <w:snapToGrid w:val="0"/>
        <w:spacing w:line="540" w:lineRule="exact"/>
        <w:textAlignment w:val="auto"/>
        <w:rPr>
          <w:rFonts w:ascii="仿宋_GB2312" w:eastAsia="仿宋_GB2312"/>
          <w:sz w:val="24"/>
          <w:szCs w:val="24"/>
        </w:rPr>
      </w:pPr>
      <w:r>
        <w:rPr>
          <w:rFonts w:hint="eastAsia" w:ascii="仿宋_GB2312" w:eastAsia="仿宋_GB2312"/>
          <w:sz w:val="24"/>
          <w:szCs w:val="24"/>
        </w:rPr>
        <w:t>朱清云</w:t>
      </w:r>
      <w:r>
        <w:rPr>
          <w:rFonts w:ascii="仿宋_GB2312" w:eastAsia="仿宋_GB2312"/>
          <w:sz w:val="24"/>
          <w:szCs w:val="24"/>
        </w:rPr>
        <w:t xml:space="preserve">  </w:t>
      </w:r>
      <w:r>
        <w:rPr>
          <w:rFonts w:hint="eastAsia" w:ascii="仿宋_GB2312" w:eastAsia="仿宋_GB2312"/>
          <w:sz w:val="24"/>
          <w:szCs w:val="24"/>
        </w:rPr>
        <w:t>市委常委、常务副市长</w:t>
      </w:r>
    </w:p>
    <w:p>
      <w:pPr>
        <w:keepNext w:val="0"/>
        <w:keepLines w:val="0"/>
        <w:pageBreakBefore w:val="0"/>
        <w:widowControl w:val="0"/>
        <w:kinsoku/>
        <w:wordWrap/>
        <w:overflowPunct/>
        <w:topLinePunct w:val="0"/>
        <w:autoSpaceDE/>
        <w:autoSpaceDN/>
        <w:bidi w:val="0"/>
        <w:adjustRightInd/>
        <w:snapToGrid w:val="0"/>
        <w:spacing w:line="540" w:lineRule="exact"/>
        <w:textAlignment w:val="auto"/>
        <w:rPr>
          <w:rFonts w:hint="eastAsia" w:ascii="仿宋_GB2312" w:eastAsia="仿宋_GB2312"/>
          <w:sz w:val="24"/>
          <w:szCs w:val="24"/>
        </w:rPr>
      </w:pPr>
      <w:r>
        <w:rPr>
          <w:rFonts w:hint="eastAsia" w:ascii="仿宋_GB2312" w:eastAsia="仿宋_GB2312"/>
          <w:sz w:val="24"/>
          <w:szCs w:val="24"/>
        </w:rPr>
        <w:t>成  员：</w:t>
      </w:r>
    </w:p>
    <w:p>
      <w:pPr>
        <w:keepNext w:val="0"/>
        <w:keepLines w:val="0"/>
        <w:pageBreakBefore w:val="0"/>
        <w:widowControl w:val="0"/>
        <w:kinsoku/>
        <w:wordWrap/>
        <w:overflowPunct/>
        <w:topLinePunct w:val="0"/>
        <w:autoSpaceDE/>
        <w:autoSpaceDN/>
        <w:bidi w:val="0"/>
        <w:adjustRightInd/>
        <w:snapToGrid w:val="0"/>
        <w:spacing w:line="540" w:lineRule="exact"/>
        <w:textAlignment w:val="auto"/>
        <w:rPr>
          <w:rFonts w:hint="eastAsia" w:ascii="仿宋_GB2312" w:eastAsia="仿宋_GB2312"/>
          <w:sz w:val="24"/>
          <w:szCs w:val="24"/>
        </w:rPr>
      </w:pPr>
      <w:r>
        <w:rPr>
          <w:rFonts w:hint="eastAsia" w:ascii="仿宋_GB2312" w:eastAsia="仿宋_GB2312"/>
          <w:sz w:val="24"/>
          <w:szCs w:val="24"/>
        </w:rPr>
        <w:t>刘继盛　市政协副主席、市财政局局长</w:t>
      </w:r>
    </w:p>
    <w:p>
      <w:pPr>
        <w:keepNext w:val="0"/>
        <w:keepLines w:val="0"/>
        <w:pageBreakBefore w:val="0"/>
        <w:widowControl w:val="0"/>
        <w:kinsoku/>
        <w:wordWrap/>
        <w:overflowPunct/>
        <w:topLinePunct w:val="0"/>
        <w:autoSpaceDE/>
        <w:autoSpaceDN/>
        <w:bidi w:val="0"/>
        <w:adjustRightInd/>
        <w:snapToGrid w:val="0"/>
        <w:spacing w:line="540" w:lineRule="exact"/>
        <w:textAlignment w:val="auto"/>
        <w:rPr>
          <w:rFonts w:hint="eastAsia" w:ascii="仿宋_GB2312" w:eastAsia="仿宋_GB2312"/>
          <w:sz w:val="24"/>
          <w:szCs w:val="24"/>
        </w:rPr>
      </w:pPr>
      <w:r>
        <w:rPr>
          <w:rFonts w:hint="eastAsia" w:ascii="仿宋_GB2312" w:eastAsia="仿宋_GB2312"/>
          <w:sz w:val="24"/>
          <w:szCs w:val="24"/>
        </w:rPr>
        <w:t>任泽峰　市政府办公室副主任</w:t>
      </w:r>
    </w:p>
    <w:p>
      <w:pPr>
        <w:keepNext w:val="0"/>
        <w:keepLines w:val="0"/>
        <w:pageBreakBefore w:val="0"/>
        <w:widowControl w:val="0"/>
        <w:kinsoku/>
        <w:wordWrap/>
        <w:overflowPunct/>
        <w:topLinePunct w:val="0"/>
        <w:autoSpaceDE/>
        <w:autoSpaceDN/>
        <w:bidi w:val="0"/>
        <w:adjustRightInd/>
        <w:snapToGrid w:val="0"/>
        <w:spacing w:line="540" w:lineRule="exact"/>
        <w:textAlignment w:val="auto"/>
        <w:rPr>
          <w:rFonts w:hint="eastAsia" w:ascii="仿宋_GB2312" w:eastAsia="仿宋_GB2312"/>
          <w:sz w:val="24"/>
          <w:szCs w:val="24"/>
        </w:rPr>
      </w:pPr>
      <w:r>
        <w:rPr>
          <w:rFonts w:hint="eastAsia" w:ascii="仿宋_GB2312" w:eastAsia="仿宋_GB2312"/>
          <w:sz w:val="24"/>
          <w:szCs w:val="24"/>
        </w:rPr>
        <w:t>陈振田</w:t>
      </w:r>
      <w:r>
        <w:rPr>
          <w:rFonts w:ascii="仿宋_GB2312" w:eastAsia="仿宋_GB2312"/>
          <w:sz w:val="24"/>
          <w:szCs w:val="24"/>
        </w:rPr>
        <w:t xml:space="preserve">  </w:t>
      </w:r>
      <w:r>
        <w:rPr>
          <w:rFonts w:hint="eastAsia" w:ascii="仿宋_GB2312" w:eastAsia="仿宋_GB2312"/>
          <w:sz w:val="24"/>
          <w:szCs w:val="24"/>
        </w:rPr>
        <w:t>市委编办主任</w:t>
      </w:r>
    </w:p>
    <w:p>
      <w:pPr>
        <w:keepNext w:val="0"/>
        <w:keepLines w:val="0"/>
        <w:pageBreakBefore w:val="0"/>
        <w:widowControl w:val="0"/>
        <w:kinsoku/>
        <w:wordWrap/>
        <w:overflowPunct/>
        <w:topLinePunct w:val="0"/>
        <w:autoSpaceDE/>
        <w:autoSpaceDN/>
        <w:bidi w:val="0"/>
        <w:adjustRightInd/>
        <w:snapToGrid w:val="0"/>
        <w:spacing w:line="540" w:lineRule="exact"/>
        <w:textAlignment w:val="auto"/>
        <w:rPr>
          <w:rFonts w:hint="eastAsia" w:ascii="仿宋_GB2312" w:eastAsia="仿宋_GB2312"/>
          <w:sz w:val="24"/>
          <w:szCs w:val="24"/>
        </w:rPr>
      </w:pPr>
      <w:r>
        <w:rPr>
          <w:rFonts w:hint="eastAsia" w:ascii="仿宋_GB2312" w:eastAsia="仿宋_GB2312"/>
          <w:sz w:val="24"/>
          <w:szCs w:val="24"/>
        </w:rPr>
        <w:t>贾会军</w:t>
      </w:r>
      <w:r>
        <w:rPr>
          <w:rFonts w:ascii="仿宋_GB2312" w:eastAsia="仿宋_GB2312"/>
          <w:sz w:val="24"/>
          <w:szCs w:val="24"/>
        </w:rPr>
        <w:t xml:space="preserve">  </w:t>
      </w:r>
      <w:r>
        <w:rPr>
          <w:rFonts w:hint="eastAsia" w:ascii="仿宋_GB2312" w:eastAsia="仿宋_GB2312"/>
          <w:sz w:val="24"/>
          <w:szCs w:val="24"/>
        </w:rPr>
        <w:t>市委组织部副部长</w:t>
      </w:r>
    </w:p>
    <w:p>
      <w:pPr>
        <w:keepNext w:val="0"/>
        <w:keepLines w:val="0"/>
        <w:pageBreakBefore w:val="0"/>
        <w:widowControl w:val="0"/>
        <w:kinsoku/>
        <w:wordWrap/>
        <w:overflowPunct/>
        <w:topLinePunct w:val="0"/>
        <w:autoSpaceDE/>
        <w:autoSpaceDN/>
        <w:bidi w:val="0"/>
        <w:adjustRightInd/>
        <w:snapToGrid w:val="0"/>
        <w:spacing w:line="540" w:lineRule="exact"/>
        <w:textAlignment w:val="auto"/>
        <w:rPr>
          <w:rFonts w:hint="eastAsia" w:ascii="仿宋_GB2312" w:eastAsia="仿宋_GB2312"/>
          <w:sz w:val="24"/>
          <w:szCs w:val="24"/>
        </w:rPr>
      </w:pPr>
      <w:r>
        <w:rPr>
          <w:rFonts w:hint="eastAsia" w:ascii="仿宋_GB2312" w:eastAsia="仿宋_GB2312"/>
          <w:sz w:val="24"/>
          <w:szCs w:val="24"/>
        </w:rPr>
        <w:t>王子军</w:t>
      </w:r>
      <w:r>
        <w:rPr>
          <w:rFonts w:ascii="仿宋_GB2312" w:eastAsia="仿宋_GB2312"/>
          <w:sz w:val="24"/>
          <w:szCs w:val="24"/>
        </w:rPr>
        <w:t xml:space="preserve">  </w:t>
      </w:r>
      <w:r>
        <w:rPr>
          <w:rFonts w:hint="eastAsia" w:ascii="仿宋_GB2312" w:eastAsia="仿宋_GB2312"/>
          <w:sz w:val="24"/>
          <w:szCs w:val="24"/>
        </w:rPr>
        <w:t>市委宣传部副部长</w:t>
      </w:r>
    </w:p>
    <w:p>
      <w:pPr>
        <w:keepNext w:val="0"/>
        <w:keepLines w:val="0"/>
        <w:pageBreakBefore w:val="0"/>
        <w:widowControl w:val="0"/>
        <w:kinsoku/>
        <w:wordWrap/>
        <w:overflowPunct/>
        <w:topLinePunct w:val="0"/>
        <w:autoSpaceDE/>
        <w:autoSpaceDN/>
        <w:bidi w:val="0"/>
        <w:adjustRightInd/>
        <w:snapToGrid w:val="0"/>
        <w:spacing w:line="540" w:lineRule="exact"/>
        <w:textAlignment w:val="auto"/>
        <w:rPr>
          <w:rFonts w:hint="eastAsia" w:ascii="仿宋_GB2312" w:eastAsia="仿宋_GB2312"/>
          <w:sz w:val="24"/>
          <w:szCs w:val="24"/>
        </w:rPr>
      </w:pPr>
      <w:r>
        <w:rPr>
          <w:rFonts w:hint="eastAsia" w:ascii="仿宋_GB2312" w:eastAsia="仿宋_GB2312"/>
          <w:sz w:val="24"/>
          <w:szCs w:val="24"/>
        </w:rPr>
        <w:t>郭景田</w:t>
      </w:r>
      <w:r>
        <w:rPr>
          <w:rFonts w:ascii="仿宋_GB2312" w:eastAsia="仿宋_GB2312"/>
          <w:sz w:val="24"/>
          <w:szCs w:val="24"/>
        </w:rPr>
        <w:t xml:space="preserve">  </w:t>
      </w:r>
      <w:r>
        <w:rPr>
          <w:rFonts w:hint="eastAsia" w:ascii="仿宋_GB2312" w:eastAsia="仿宋_GB2312"/>
          <w:sz w:val="24"/>
          <w:szCs w:val="24"/>
        </w:rPr>
        <w:t>市发展改革局局长</w:t>
      </w:r>
    </w:p>
    <w:p>
      <w:pPr>
        <w:keepNext w:val="0"/>
        <w:keepLines w:val="0"/>
        <w:pageBreakBefore w:val="0"/>
        <w:widowControl w:val="0"/>
        <w:kinsoku/>
        <w:wordWrap/>
        <w:overflowPunct/>
        <w:topLinePunct w:val="0"/>
        <w:autoSpaceDE/>
        <w:autoSpaceDN/>
        <w:bidi w:val="0"/>
        <w:adjustRightInd/>
        <w:snapToGrid w:val="0"/>
        <w:spacing w:line="540" w:lineRule="exact"/>
        <w:textAlignment w:val="auto"/>
        <w:rPr>
          <w:rFonts w:hint="eastAsia" w:ascii="仿宋_GB2312" w:eastAsia="仿宋_GB2312"/>
          <w:sz w:val="24"/>
          <w:szCs w:val="24"/>
        </w:rPr>
      </w:pPr>
      <w:r>
        <w:rPr>
          <w:rFonts w:hint="eastAsia" w:ascii="仿宋_GB2312" w:eastAsia="仿宋_GB2312"/>
          <w:sz w:val="24"/>
          <w:szCs w:val="24"/>
        </w:rPr>
        <w:t>刘永顺</w:t>
      </w:r>
      <w:r>
        <w:rPr>
          <w:rFonts w:ascii="仿宋_GB2312" w:eastAsia="仿宋_GB2312"/>
          <w:sz w:val="24"/>
          <w:szCs w:val="24"/>
        </w:rPr>
        <w:t xml:space="preserve">  </w:t>
      </w:r>
      <w:r>
        <w:rPr>
          <w:rFonts w:hint="eastAsia" w:ascii="仿宋_GB2312" w:eastAsia="仿宋_GB2312"/>
          <w:sz w:val="24"/>
          <w:szCs w:val="24"/>
        </w:rPr>
        <w:t>市教科局局长</w:t>
      </w:r>
    </w:p>
    <w:p>
      <w:pPr>
        <w:keepNext w:val="0"/>
        <w:keepLines w:val="0"/>
        <w:pageBreakBefore w:val="0"/>
        <w:widowControl w:val="0"/>
        <w:kinsoku/>
        <w:wordWrap/>
        <w:overflowPunct/>
        <w:topLinePunct w:val="0"/>
        <w:autoSpaceDE/>
        <w:autoSpaceDN/>
        <w:bidi w:val="0"/>
        <w:adjustRightInd/>
        <w:snapToGrid w:val="0"/>
        <w:spacing w:line="540" w:lineRule="exact"/>
        <w:textAlignment w:val="auto"/>
        <w:rPr>
          <w:rFonts w:hint="eastAsia" w:ascii="仿宋_GB2312" w:eastAsia="仿宋_GB2312"/>
          <w:sz w:val="24"/>
          <w:szCs w:val="24"/>
        </w:rPr>
      </w:pPr>
      <w:r>
        <w:rPr>
          <w:rFonts w:hint="eastAsia" w:ascii="仿宋_GB2312" w:eastAsia="仿宋_GB2312"/>
          <w:sz w:val="24"/>
          <w:szCs w:val="24"/>
        </w:rPr>
        <w:t>张国强</w:t>
      </w:r>
      <w:r>
        <w:rPr>
          <w:rFonts w:ascii="仿宋_GB2312" w:eastAsia="仿宋_GB2312"/>
          <w:sz w:val="24"/>
          <w:szCs w:val="24"/>
        </w:rPr>
        <w:t xml:space="preserve">  </w:t>
      </w:r>
      <w:r>
        <w:rPr>
          <w:rFonts w:hint="eastAsia" w:ascii="仿宋_GB2312" w:eastAsia="仿宋_GB2312"/>
          <w:sz w:val="24"/>
          <w:szCs w:val="24"/>
        </w:rPr>
        <w:t>市人社局局长</w:t>
      </w:r>
    </w:p>
    <w:p>
      <w:pPr>
        <w:keepNext w:val="0"/>
        <w:keepLines w:val="0"/>
        <w:pageBreakBefore w:val="0"/>
        <w:widowControl w:val="0"/>
        <w:kinsoku/>
        <w:wordWrap/>
        <w:overflowPunct/>
        <w:topLinePunct w:val="0"/>
        <w:autoSpaceDE/>
        <w:autoSpaceDN/>
        <w:bidi w:val="0"/>
        <w:adjustRightInd/>
        <w:snapToGrid w:val="0"/>
        <w:spacing w:line="540" w:lineRule="exact"/>
        <w:textAlignment w:val="auto"/>
        <w:rPr>
          <w:rFonts w:hint="eastAsia" w:ascii="仿宋_GB2312" w:eastAsia="仿宋_GB2312"/>
          <w:sz w:val="24"/>
          <w:szCs w:val="24"/>
        </w:rPr>
      </w:pPr>
      <w:r>
        <w:rPr>
          <w:rFonts w:hint="eastAsia" w:ascii="仿宋_GB2312" w:eastAsia="仿宋_GB2312"/>
          <w:sz w:val="24"/>
          <w:szCs w:val="24"/>
        </w:rPr>
        <w:t>贾贽骏　市住房城乡建设局局长</w:t>
      </w:r>
    </w:p>
    <w:p>
      <w:pPr>
        <w:keepNext w:val="0"/>
        <w:keepLines w:val="0"/>
        <w:pageBreakBefore w:val="0"/>
        <w:widowControl w:val="0"/>
        <w:kinsoku/>
        <w:wordWrap/>
        <w:overflowPunct/>
        <w:topLinePunct w:val="0"/>
        <w:autoSpaceDE/>
        <w:autoSpaceDN/>
        <w:bidi w:val="0"/>
        <w:adjustRightInd/>
        <w:snapToGrid w:val="0"/>
        <w:spacing w:line="540" w:lineRule="exact"/>
        <w:textAlignment w:val="auto"/>
        <w:rPr>
          <w:rFonts w:hint="eastAsia" w:ascii="仿宋_GB2312" w:eastAsia="仿宋_GB2312"/>
          <w:sz w:val="24"/>
          <w:szCs w:val="24"/>
        </w:rPr>
      </w:pPr>
      <w:r>
        <w:rPr>
          <w:rFonts w:hint="eastAsia" w:ascii="仿宋_GB2312" w:eastAsia="仿宋_GB2312"/>
          <w:sz w:val="24"/>
          <w:szCs w:val="24"/>
        </w:rPr>
        <w:t>聂皇卿</w:t>
      </w:r>
      <w:r>
        <w:rPr>
          <w:rFonts w:ascii="仿宋_GB2312" w:eastAsia="仿宋_GB2312"/>
          <w:sz w:val="24"/>
          <w:szCs w:val="24"/>
        </w:rPr>
        <w:t xml:space="preserve">  </w:t>
      </w:r>
      <w:r>
        <w:rPr>
          <w:rFonts w:hint="eastAsia" w:ascii="仿宋_GB2312" w:eastAsia="仿宋_GB2312"/>
          <w:sz w:val="24"/>
          <w:szCs w:val="24"/>
        </w:rPr>
        <w:t>市卫生健康和体育局局长</w:t>
      </w:r>
    </w:p>
    <w:p>
      <w:pPr>
        <w:keepNext w:val="0"/>
        <w:keepLines w:val="0"/>
        <w:pageBreakBefore w:val="0"/>
        <w:widowControl w:val="0"/>
        <w:kinsoku/>
        <w:wordWrap/>
        <w:overflowPunct/>
        <w:topLinePunct w:val="0"/>
        <w:autoSpaceDE/>
        <w:autoSpaceDN/>
        <w:bidi w:val="0"/>
        <w:adjustRightInd/>
        <w:snapToGrid w:val="0"/>
        <w:spacing w:line="540" w:lineRule="exact"/>
        <w:textAlignment w:val="auto"/>
        <w:rPr>
          <w:rFonts w:hint="eastAsia" w:ascii="仿宋_GB2312" w:eastAsia="仿宋_GB2312"/>
          <w:sz w:val="24"/>
          <w:szCs w:val="24"/>
        </w:rPr>
      </w:pPr>
      <w:r>
        <w:rPr>
          <w:rFonts w:hint="eastAsia" w:ascii="仿宋_GB2312" w:eastAsia="仿宋_GB2312"/>
          <w:sz w:val="24"/>
          <w:szCs w:val="24"/>
        </w:rPr>
        <w:t>赵一初　市市场监管局局长</w:t>
      </w:r>
    </w:p>
    <w:p>
      <w:pPr>
        <w:keepNext w:val="0"/>
        <w:keepLines w:val="0"/>
        <w:pageBreakBefore w:val="0"/>
        <w:widowControl w:val="0"/>
        <w:kinsoku/>
        <w:wordWrap/>
        <w:overflowPunct/>
        <w:topLinePunct w:val="0"/>
        <w:autoSpaceDE/>
        <w:autoSpaceDN/>
        <w:bidi w:val="0"/>
        <w:adjustRightInd/>
        <w:snapToGrid w:val="0"/>
        <w:spacing w:line="540" w:lineRule="exact"/>
        <w:textAlignment w:val="auto"/>
        <w:rPr>
          <w:rFonts w:hint="eastAsia" w:ascii="仿宋_GB2312" w:eastAsia="仿宋_GB2312"/>
          <w:sz w:val="24"/>
          <w:szCs w:val="24"/>
        </w:rPr>
      </w:pPr>
      <w:r>
        <w:rPr>
          <w:rFonts w:hint="eastAsia" w:ascii="仿宋_GB2312" w:eastAsia="仿宋_GB2312"/>
          <w:sz w:val="24"/>
          <w:szCs w:val="24"/>
        </w:rPr>
        <w:t>杨峰云</w:t>
      </w:r>
      <w:r>
        <w:rPr>
          <w:rFonts w:ascii="仿宋_GB2312" w:eastAsia="仿宋_GB2312"/>
          <w:sz w:val="24"/>
          <w:szCs w:val="24"/>
        </w:rPr>
        <w:t xml:space="preserve">  </w:t>
      </w:r>
      <w:r>
        <w:rPr>
          <w:rFonts w:hint="eastAsia" w:ascii="仿宋_GB2312" w:eastAsia="仿宋_GB2312"/>
          <w:sz w:val="24"/>
          <w:szCs w:val="24"/>
        </w:rPr>
        <w:t>市统计局局长</w:t>
      </w:r>
    </w:p>
    <w:p>
      <w:pPr>
        <w:keepNext w:val="0"/>
        <w:keepLines w:val="0"/>
        <w:pageBreakBefore w:val="0"/>
        <w:widowControl w:val="0"/>
        <w:kinsoku/>
        <w:wordWrap/>
        <w:overflowPunct/>
        <w:topLinePunct w:val="0"/>
        <w:autoSpaceDE/>
        <w:autoSpaceDN/>
        <w:bidi w:val="0"/>
        <w:adjustRightInd/>
        <w:snapToGrid w:val="0"/>
        <w:spacing w:line="540" w:lineRule="exact"/>
        <w:textAlignment w:val="auto"/>
        <w:rPr>
          <w:rFonts w:hint="eastAsia" w:ascii="仿宋_GB2312" w:eastAsia="仿宋_GB2312"/>
          <w:sz w:val="24"/>
          <w:szCs w:val="24"/>
        </w:rPr>
      </w:pPr>
      <w:r>
        <w:rPr>
          <w:rFonts w:hint="eastAsia" w:ascii="仿宋_GB2312" w:eastAsia="仿宋_GB2312"/>
          <w:sz w:val="24"/>
          <w:szCs w:val="24"/>
        </w:rPr>
        <w:t>解建斌　市审计局负责人</w:t>
      </w:r>
    </w:p>
    <w:p>
      <w:pPr>
        <w:keepNext w:val="0"/>
        <w:keepLines w:val="0"/>
        <w:pageBreakBefore w:val="0"/>
        <w:widowControl w:val="0"/>
        <w:kinsoku/>
        <w:wordWrap/>
        <w:overflowPunct/>
        <w:topLinePunct w:val="0"/>
        <w:autoSpaceDE/>
        <w:autoSpaceDN/>
        <w:bidi w:val="0"/>
        <w:adjustRightInd/>
        <w:snapToGrid w:val="0"/>
        <w:spacing w:line="540" w:lineRule="exact"/>
        <w:textAlignment w:val="auto"/>
        <w:rPr>
          <w:rFonts w:hint="eastAsia" w:ascii="仿宋_GB2312" w:eastAsia="仿宋_GB2312"/>
          <w:sz w:val="24"/>
          <w:szCs w:val="24"/>
        </w:rPr>
      </w:pPr>
      <w:r>
        <w:rPr>
          <w:rFonts w:hint="eastAsia" w:ascii="仿宋_GB2312" w:eastAsia="仿宋_GB2312"/>
          <w:sz w:val="24"/>
          <w:szCs w:val="24"/>
        </w:rPr>
        <w:t>樊</w:t>
      </w:r>
      <w:r>
        <w:rPr>
          <w:rFonts w:ascii="仿宋_GB2312" w:eastAsia="仿宋_GB2312"/>
          <w:sz w:val="24"/>
          <w:szCs w:val="24"/>
        </w:rPr>
        <w:t xml:space="preserve">  </w:t>
      </w:r>
      <w:r>
        <w:rPr>
          <w:rFonts w:hint="eastAsia" w:ascii="仿宋_GB2312" w:eastAsia="仿宋_GB2312"/>
          <w:sz w:val="24"/>
          <w:szCs w:val="24"/>
        </w:rPr>
        <w:t>强　团市委书记</w:t>
      </w:r>
    </w:p>
    <w:p>
      <w:pPr>
        <w:keepNext w:val="0"/>
        <w:keepLines w:val="0"/>
        <w:pageBreakBefore w:val="0"/>
        <w:widowControl w:val="0"/>
        <w:kinsoku/>
        <w:wordWrap/>
        <w:overflowPunct/>
        <w:topLinePunct w:val="0"/>
        <w:autoSpaceDE/>
        <w:autoSpaceDN/>
        <w:bidi w:val="0"/>
        <w:adjustRightInd/>
        <w:snapToGrid w:val="0"/>
        <w:spacing w:line="540" w:lineRule="exact"/>
        <w:textAlignment w:val="auto"/>
        <w:rPr>
          <w:rFonts w:hint="eastAsia" w:ascii="仿宋_GB2312" w:eastAsia="仿宋_GB2312"/>
          <w:sz w:val="24"/>
          <w:szCs w:val="24"/>
        </w:rPr>
      </w:pPr>
      <w:r>
        <w:rPr>
          <w:rFonts w:hint="eastAsia" w:ascii="仿宋_GB2312" w:eastAsia="仿宋_GB2312"/>
          <w:sz w:val="24"/>
          <w:szCs w:val="24"/>
        </w:rPr>
        <w:t>杨美娟　市妇联主席</w:t>
      </w:r>
    </w:p>
    <w:p>
      <w:pPr>
        <w:keepNext w:val="0"/>
        <w:keepLines w:val="0"/>
        <w:pageBreakBefore w:val="0"/>
        <w:widowControl w:val="0"/>
        <w:kinsoku/>
        <w:wordWrap/>
        <w:overflowPunct/>
        <w:topLinePunct w:val="0"/>
        <w:autoSpaceDE/>
        <w:autoSpaceDN/>
        <w:bidi w:val="0"/>
        <w:adjustRightInd/>
        <w:snapToGrid w:val="0"/>
        <w:spacing w:line="540" w:lineRule="exact"/>
        <w:textAlignment w:val="auto"/>
        <w:rPr>
          <w:rFonts w:hint="eastAsia" w:ascii="仿宋_GB2312" w:eastAsia="仿宋_GB2312"/>
          <w:sz w:val="24"/>
          <w:szCs w:val="24"/>
        </w:rPr>
      </w:pPr>
      <w:r>
        <w:rPr>
          <w:rFonts w:hint="eastAsia" w:ascii="仿宋_GB2312" w:eastAsia="仿宋_GB2312"/>
          <w:sz w:val="24"/>
          <w:szCs w:val="24"/>
        </w:rPr>
        <w:t>韩美智</w:t>
      </w:r>
      <w:r>
        <w:rPr>
          <w:rFonts w:ascii="仿宋_GB2312" w:eastAsia="仿宋_GB2312"/>
          <w:sz w:val="24"/>
          <w:szCs w:val="24"/>
        </w:rPr>
        <w:t xml:space="preserve">  </w:t>
      </w:r>
      <w:r>
        <w:rPr>
          <w:rFonts w:hint="eastAsia" w:ascii="仿宋_GB2312" w:eastAsia="仿宋_GB2312"/>
          <w:sz w:val="24"/>
          <w:szCs w:val="24"/>
        </w:rPr>
        <w:t>市残联理事长</w:t>
      </w:r>
    </w:p>
    <w:p>
      <w:pPr>
        <w:keepNext w:val="0"/>
        <w:keepLines w:val="0"/>
        <w:pageBreakBefore w:val="0"/>
        <w:widowControl w:val="0"/>
        <w:kinsoku/>
        <w:wordWrap/>
        <w:overflowPunct/>
        <w:topLinePunct w:val="0"/>
        <w:autoSpaceDE/>
        <w:autoSpaceDN/>
        <w:bidi w:val="0"/>
        <w:adjustRightInd/>
        <w:snapToGrid w:val="0"/>
        <w:spacing w:line="540" w:lineRule="exact"/>
        <w:textAlignment w:val="auto"/>
        <w:rPr>
          <w:rFonts w:hint="eastAsia" w:ascii="仿宋_GB2312" w:eastAsia="仿宋_GB2312"/>
          <w:sz w:val="24"/>
          <w:szCs w:val="24"/>
        </w:rPr>
      </w:pPr>
      <w:r>
        <w:rPr>
          <w:rFonts w:hint="eastAsia" w:ascii="仿宋_GB2312" w:eastAsia="仿宋_GB2312"/>
          <w:sz w:val="24"/>
          <w:szCs w:val="24"/>
        </w:rPr>
        <w:t>韩存伟</w:t>
      </w:r>
      <w:r>
        <w:rPr>
          <w:rFonts w:ascii="仿宋_GB2312" w:eastAsia="仿宋_GB2312"/>
          <w:sz w:val="24"/>
          <w:szCs w:val="24"/>
        </w:rPr>
        <w:t xml:space="preserve">  </w:t>
      </w:r>
      <w:r>
        <w:rPr>
          <w:rFonts w:hint="eastAsia" w:ascii="仿宋_GB2312" w:eastAsia="仿宋_GB2312"/>
          <w:sz w:val="24"/>
          <w:szCs w:val="24"/>
        </w:rPr>
        <w:t>市公安局交警大队副大队长</w:t>
      </w:r>
    </w:p>
    <w:p>
      <w:pPr>
        <w:keepNext w:val="0"/>
        <w:keepLines w:val="0"/>
        <w:pageBreakBefore w:val="0"/>
        <w:widowControl w:val="0"/>
        <w:kinsoku/>
        <w:wordWrap/>
        <w:overflowPunct/>
        <w:topLinePunct w:val="0"/>
        <w:autoSpaceDE/>
        <w:autoSpaceDN/>
        <w:bidi w:val="0"/>
        <w:adjustRightInd/>
        <w:snapToGrid w:val="0"/>
        <w:spacing w:line="540" w:lineRule="exact"/>
        <w:textAlignment w:val="auto"/>
        <w:rPr>
          <w:rFonts w:hint="eastAsia" w:ascii="仿宋_GB2312" w:eastAsia="仿宋_GB2312"/>
          <w:sz w:val="24"/>
          <w:szCs w:val="24"/>
        </w:rPr>
      </w:pPr>
      <w:r>
        <w:rPr>
          <w:rFonts w:hint="eastAsia" w:ascii="仿宋_GB2312" w:eastAsia="仿宋_GB2312"/>
          <w:sz w:val="24"/>
          <w:szCs w:val="24"/>
        </w:rPr>
        <w:t>夏志东</w:t>
      </w:r>
      <w:r>
        <w:rPr>
          <w:rFonts w:ascii="仿宋_GB2312" w:eastAsia="仿宋_GB2312"/>
          <w:sz w:val="24"/>
          <w:szCs w:val="24"/>
        </w:rPr>
        <w:t xml:space="preserve">  </w:t>
      </w:r>
      <w:r>
        <w:rPr>
          <w:rFonts w:hint="eastAsia" w:ascii="仿宋_GB2312" w:eastAsia="仿宋_GB2312"/>
          <w:sz w:val="24"/>
          <w:szCs w:val="24"/>
        </w:rPr>
        <w:t>市公安局党委委员</w:t>
      </w:r>
    </w:p>
    <w:p>
      <w:pPr>
        <w:keepNext w:val="0"/>
        <w:keepLines w:val="0"/>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仿宋_GB2312" w:eastAsia="仿宋_GB2312"/>
          <w:sz w:val="24"/>
          <w:szCs w:val="24"/>
        </w:rPr>
      </w:pPr>
      <w:r>
        <w:rPr>
          <w:rFonts w:hint="eastAsia" w:ascii="仿宋_GB2312" w:eastAsia="仿宋_GB2312"/>
          <w:sz w:val="24"/>
          <w:szCs w:val="24"/>
        </w:rPr>
        <w:t>各乡（镇、街道）负责人</w:t>
      </w:r>
    </w:p>
    <w:p>
      <w:pPr>
        <w:keepNext w:val="0"/>
        <w:keepLines w:val="0"/>
        <w:pageBreakBefore w:val="0"/>
        <w:widowControl w:val="0"/>
        <w:kinsoku/>
        <w:wordWrap/>
        <w:overflowPunct/>
        <w:topLinePunct w:val="0"/>
        <w:autoSpaceDE/>
        <w:autoSpaceDN/>
        <w:bidi w:val="0"/>
        <w:adjustRightInd/>
        <w:snapToGrid w:val="0"/>
        <w:spacing w:line="540" w:lineRule="exact"/>
        <w:ind w:firstLine="480" w:firstLineChars="200"/>
        <w:textAlignment w:val="auto"/>
        <w:rPr>
          <w:rFonts w:ascii="仿宋_GB2312" w:eastAsia="仿宋_GB2312"/>
          <w:sz w:val="24"/>
          <w:szCs w:val="24"/>
        </w:rPr>
      </w:pPr>
      <w:r>
        <w:rPr>
          <w:rFonts w:hint="eastAsia" w:ascii="仿宋_GB2312" w:eastAsia="仿宋_GB2312"/>
          <w:bCs/>
          <w:sz w:val="24"/>
          <w:szCs w:val="24"/>
        </w:rPr>
        <w:t>工作专班</w:t>
      </w:r>
      <w:r>
        <w:rPr>
          <w:rFonts w:hint="eastAsia" w:ascii="仿宋_GB2312" w:eastAsia="仿宋_GB2312"/>
          <w:sz w:val="24"/>
          <w:szCs w:val="24"/>
        </w:rPr>
        <w:t>负责协调各部门和单位推进义务教育均衡发展的相关职责。</w:t>
      </w:r>
      <w:r>
        <w:rPr>
          <w:rFonts w:hint="eastAsia" w:ascii="仿宋_GB2312" w:eastAsia="仿宋_GB2312"/>
          <w:bCs/>
          <w:sz w:val="24"/>
          <w:szCs w:val="24"/>
        </w:rPr>
        <w:t>工作专班下设办公室，</w:t>
      </w:r>
      <w:r>
        <w:rPr>
          <w:rFonts w:hint="eastAsia" w:ascii="仿宋_GB2312" w:eastAsia="仿宋_GB2312"/>
          <w:sz w:val="24"/>
          <w:szCs w:val="24"/>
        </w:rPr>
        <w:t>办公室设在市教科局，负责整体工作的运行和重大问题的协调建议，办公室主任由刘永顺同志担任。</w:t>
      </w:r>
    </w:p>
    <w:p>
      <w:pPr>
        <w:keepNext w:val="0"/>
        <w:keepLines w:val="0"/>
        <w:pageBreakBefore w:val="0"/>
        <w:widowControl w:val="0"/>
        <w:kinsoku/>
        <w:wordWrap/>
        <w:overflowPunct/>
        <w:topLinePunct w:val="0"/>
        <w:autoSpaceDE/>
        <w:autoSpaceDN/>
        <w:bidi w:val="0"/>
        <w:adjustRightInd/>
        <w:snapToGrid w:val="0"/>
        <w:spacing w:line="540" w:lineRule="exact"/>
        <w:ind w:firstLine="520" w:firstLineChars="200"/>
        <w:textAlignment w:val="auto"/>
        <w:rPr>
          <w:rFonts w:hint="eastAsia" w:ascii="黑体" w:hAnsi="黑体" w:eastAsia="黑体"/>
          <w:sz w:val="26"/>
          <w:szCs w:val="26"/>
        </w:rPr>
      </w:pPr>
      <w:r>
        <w:rPr>
          <w:rFonts w:hint="eastAsia" w:ascii="黑体" w:hAnsi="黑体" w:eastAsia="黑体"/>
          <w:sz w:val="26"/>
          <w:szCs w:val="26"/>
        </w:rPr>
        <w:t>二、主要职责</w:t>
      </w:r>
    </w:p>
    <w:p>
      <w:pPr>
        <w:keepNext w:val="0"/>
        <w:keepLines w:val="0"/>
        <w:pageBreakBefore w:val="0"/>
        <w:widowControl w:val="0"/>
        <w:kinsoku/>
        <w:wordWrap/>
        <w:overflowPunct/>
        <w:topLinePunct w:val="0"/>
        <w:autoSpaceDE/>
        <w:autoSpaceDN/>
        <w:bidi w:val="0"/>
        <w:adjustRightInd/>
        <w:snapToGrid w:val="0"/>
        <w:spacing w:line="540" w:lineRule="exact"/>
        <w:ind w:firstLine="480" w:firstLineChars="200"/>
        <w:textAlignment w:val="auto"/>
        <w:rPr>
          <w:rFonts w:ascii="仿宋_GB2312" w:eastAsia="仿宋_GB2312"/>
          <w:sz w:val="24"/>
          <w:szCs w:val="24"/>
        </w:rPr>
      </w:pPr>
      <w:r>
        <w:rPr>
          <w:rFonts w:hint="eastAsia" w:ascii="仿宋_GB2312" w:eastAsia="仿宋_GB2312"/>
          <w:sz w:val="24"/>
          <w:szCs w:val="24"/>
        </w:rPr>
        <w:t>市政府办公室负责协调各单位、各部门工作，对贯彻落实有关教育法律、法规的情况进行检查督办；在国家、山西省、忻州市对本市进行督导检查时，负责组织和安排迎检工作。</w:t>
      </w:r>
    </w:p>
    <w:p>
      <w:pPr>
        <w:keepNext w:val="0"/>
        <w:keepLines w:val="0"/>
        <w:pageBreakBefore w:val="0"/>
        <w:widowControl w:val="0"/>
        <w:kinsoku/>
        <w:wordWrap/>
        <w:overflowPunct/>
        <w:topLinePunct w:val="0"/>
        <w:autoSpaceDE/>
        <w:autoSpaceDN/>
        <w:bidi w:val="0"/>
        <w:adjustRightInd/>
        <w:snapToGrid w:val="0"/>
        <w:spacing w:line="540" w:lineRule="exact"/>
        <w:ind w:firstLine="480" w:firstLineChars="200"/>
        <w:textAlignment w:val="auto"/>
        <w:rPr>
          <w:rFonts w:ascii="仿宋_GB2312" w:eastAsia="仿宋_GB2312"/>
          <w:sz w:val="24"/>
          <w:szCs w:val="24"/>
        </w:rPr>
      </w:pPr>
      <w:r>
        <w:rPr>
          <w:rFonts w:hint="eastAsia" w:ascii="仿宋_GB2312" w:eastAsia="仿宋_GB2312"/>
          <w:sz w:val="24"/>
          <w:szCs w:val="24"/>
        </w:rPr>
        <w:t>市委组织部将义务教育优质均衡发展创建工作，纳入全市年度工作考核。</w:t>
      </w:r>
    </w:p>
    <w:p>
      <w:pPr>
        <w:keepNext w:val="0"/>
        <w:keepLines w:val="0"/>
        <w:pageBreakBefore w:val="0"/>
        <w:widowControl w:val="0"/>
        <w:kinsoku/>
        <w:wordWrap/>
        <w:overflowPunct/>
        <w:topLinePunct w:val="0"/>
        <w:autoSpaceDE/>
        <w:autoSpaceDN/>
        <w:bidi w:val="0"/>
        <w:adjustRightInd/>
        <w:snapToGrid w:val="0"/>
        <w:spacing w:line="540" w:lineRule="exact"/>
        <w:ind w:firstLine="480" w:firstLineChars="200"/>
        <w:textAlignment w:val="auto"/>
        <w:rPr>
          <w:rFonts w:ascii="仿宋_GB2312" w:eastAsia="仿宋_GB2312"/>
          <w:sz w:val="24"/>
          <w:szCs w:val="24"/>
        </w:rPr>
      </w:pPr>
      <w:r>
        <w:rPr>
          <w:rFonts w:hint="eastAsia" w:ascii="仿宋_GB2312" w:eastAsia="仿宋_GB2312"/>
          <w:sz w:val="24"/>
          <w:szCs w:val="24"/>
        </w:rPr>
        <w:t>市委宣传部和团市委要大力宣传优秀教师、优秀教育工作者、优秀学生和尊师重教典型的先进事迹，让全社会关心、理解、支持教育的改革和发展，在全社会形成重教、助教、兴教的良好风气。</w:t>
      </w:r>
    </w:p>
    <w:p>
      <w:pPr>
        <w:keepNext w:val="0"/>
        <w:keepLines w:val="0"/>
        <w:pageBreakBefore w:val="0"/>
        <w:widowControl w:val="0"/>
        <w:kinsoku/>
        <w:wordWrap/>
        <w:overflowPunct/>
        <w:topLinePunct w:val="0"/>
        <w:autoSpaceDE/>
        <w:autoSpaceDN/>
        <w:bidi w:val="0"/>
        <w:adjustRightInd/>
        <w:snapToGrid w:val="0"/>
        <w:spacing w:line="540" w:lineRule="exact"/>
        <w:ind w:firstLine="480" w:firstLineChars="200"/>
        <w:textAlignment w:val="auto"/>
        <w:rPr>
          <w:rFonts w:ascii="仿宋_GB2312" w:eastAsia="仿宋_GB2312"/>
          <w:sz w:val="24"/>
          <w:szCs w:val="24"/>
        </w:rPr>
      </w:pPr>
      <w:r>
        <w:rPr>
          <w:rFonts w:hint="eastAsia" w:ascii="仿宋_GB2312" w:eastAsia="仿宋_GB2312"/>
          <w:sz w:val="24"/>
          <w:szCs w:val="24"/>
        </w:rPr>
        <w:t>市教科局负责</w:t>
      </w:r>
      <w:r>
        <w:rPr>
          <w:rFonts w:hint="eastAsia" w:ascii="仿宋_GB2312" w:eastAsia="仿宋_GB2312"/>
          <w:bCs/>
          <w:sz w:val="24"/>
          <w:szCs w:val="24"/>
        </w:rPr>
        <w:t>工作专班</w:t>
      </w:r>
      <w:r>
        <w:rPr>
          <w:rFonts w:hint="eastAsia" w:ascii="仿宋_GB2312" w:eastAsia="仿宋_GB2312"/>
          <w:sz w:val="24"/>
          <w:szCs w:val="24"/>
        </w:rPr>
        <w:t>办公室的日常运作，牵头做好创建义务教育优质均衡发展的日常工作。其他职能部门和单位根据法律法规赋予的主要职责，对涉及本部门、本单位工作范围的有关义务教育方面的工作，给予大力支持和积极配合，共同营造义务教育优质均衡发展的良好氛围。</w:t>
      </w:r>
    </w:p>
    <w:p>
      <w:pPr>
        <w:keepNext w:val="0"/>
        <w:keepLines w:val="0"/>
        <w:pageBreakBefore w:val="0"/>
        <w:widowControl w:val="0"/>
        <w:kinsoku/>
        <w:wordWrap/>
        <w:overflowPunct/>
        <w:topLinePunct w:val="0"/>
        <w:autoSpaceDE/>
        <w:autoSpaceDN/>
        <w:bidi w:val="0"/>
        <w:adjustRightInd/>
        <w:snapToGrid w:val="0"/>
        <w:spacing w:line="540" w:lineRule="exact"/>
        <w:ind w:firstLine="480" w:firstLineChars="200"/>
        <w:textAlignment w:val="auto"/>
        <w:rPr>
          <w:rFonts w:ascii="仿宋_GB2312" w:eastAsia="仿宋_GB2312"/>
          <w:sz w:val="24"/>
          <w:szCs w:val="24"/>
        </w:rPr>
      </w:pPr>
      <w:r>
        <w:rPr>
          <w:rFonts w:hint="eastAsia" w:ascii="仿宋_GB2312" w:eastAsia="仿宋_GB2312"/>
          <w:sz w:val="24"/>
          <w:szCs w:val="24"/>
        </w:rPr>
        <w:t>市委编办、市人社局负责审报中小学教师招聘计划，会同市教科局做好教师表彰奖励及教师招聘、调配、岗位管理和职称聘用等工作；保障教师工资待遇，维护教职工劳动保障权益。</w:t>
      </w:r>
    </w:p>
    <w:p>
      <w:pPr>
        <w:keepNext w:val="0"/>
        <w:keepLines w:val="0"/>
        <w:pageBreakBefore w:val="0"/>
        <w:widowControl w:val="0"/>
        <w:kinsoku/>
        <w:wordWrap/>
        <w:overflowPunct/>
        <w:topLinePunct w:val="0"/>
        <w:autoSpaceDE/>
        <w:autoSpaceDN/>
        <w:bidi w:val="0"/>
        <w:adjustRightInd/>
        <w:snapToGrid w:val="0"/>
        <w:spacing w:line="540" w:lineRule="exact"/>
        <w:ind w:firstLine="480" w:firstLineChars="200"/>
        <w:textAlignment w:val="auto"/>
        <w:rPr>
          <w:rFonts w:ascii="仿宋_GB2312" w:eastAsia="仿宋_GB2312"/>
          <w:sz w:val="24"/>
          <w:szCs w:val="24"/>
        </w:rPr>
      </w:pPr>
      <w:r>
        <w:rPr>
          <w:rFonts w:hint="eastAsia" w:ascii="仿宋_GB2312" w:eastAsia="仿宋_GB2312"/>
          <w:sz w:val="24"/>
          <w:szCs w:val="24"/>
        </w:rPr>
        <w:t>市财政局负责对全市教育经费投入情况进行检查，纠正侵占、挪用、截留教育经费等行为，确保本级教育经费做到“三个增长”，同时财政教育支出占公共财政支出达到省市规定比例；将教职工工资（包括绩效工资）全额纳入财政预算；完善义务教育经费保障机制，落实应负担的新机制经费，核定并执行生均公用经费标准，公用经费达标，教学仪器设备值达标；配合发展改革、教科等部门落实并管好中小学维修改造等工程专项资金。</w:t>
      </w:r>
    </w:p>
    <w:p>
      <w:pPr>
        <w:keepNext w:val="0"/>
        <w:keepLines w:val="0"/>
        <w:pageBreakBefore w:val="0"/>
        <w:widowControl w:val="0"/>
        <w:kinsoku/>
        <w:wordWrap/>
        <w:overflowPunct/>
        <w:topLinePunct w:val="0"/>
        <w:autoSpaceDE/>
        <w:autoSpaceDN/>
        <w:bidi w:val="0"/>
        <w:adjustRightInd/>
        <w:snapToGrid w:val="0"/>
        <w:spacing w:line="540" w:lineRule="exact"/>
        <w:ind w:firstLine="480" w:firstLineChars="200"/>
        <w:textAlignment w:val="auto"/>
        <w:rPr>
          <w:rFonts w:ascii="仿宋_GB2312" w:eastAsia="仿宋_GB2312"/>
          <w:sz w:val="24"/>
          <w:szCs w:val="24"/>
        </w:rPr>
      </w:pPr>
      <w:r>
        <w:rPr>
          <w:rFonts w:hint="eastAsia" w:ascii="仿宋_GB2312" w:eastAsia="仿宋_GB2312"/>
          <w:sz w:val="24"/>
          <w:szCs w:val="24"/>
        </w:rPr>
        <w:t>市审计局要对教育经费、专项经费的核拨、使用情况进行审计；对教育费附加等经费的使用管理程序、效益进行审计与监督。</w:t>
      </w:r>
    </w:p>
    <w:p>
      <w:pPr>
        <w:keepNext w:val="0"/>
        <w:keepLines w:val="0"/>
        <w:pageBreakBefore w:val="0"/>
        <w:widowControl w:val="0"/>
        <w:kinsoku/>
        <w:wordWrap/>
        <w:overflowPunct/>
        <w:topLinePunct w:val="0"/>
        <w:autoSpaceDE/>
        <w:autoSpaceDN/>
        <w:bidi w:val="0"/>
        <w:adjustRightInd/>
        <w:snapToGrid w:val="0"/>
        <w:spacing w:line="540" w:lineRule="exact"/>
        <w:ind w:firstLine="480" w:firstLineChars="200"/>
        <w:textAlignment w:val="auto"/>
        <w:rPr>
          <w:rFonts w:ascii="仿宋_GB2312" w:eastAsia="仿宋_GB2312"/>
          <w:sz w:val="24"/>
          <w:szCs w:val="24"/>
        </w:rPr>
      </w:pPr>
      <w:r>
        <w:rPr>
          <w:rFonts w:hint="eastAsia" w:ascii="仿宋_GB2312" w:eastAsia="仿宋_GB2312"/>
          <w:sz w:val="24"/>
          <w:szCs w:val="24"/>
        </w:rPr>
        <w:t>市发展改革局负责把教育纳入全市国民经济和社会发展总体规划；指导编制和完善教育事业中长期发展规划，协助做好中小学布局调整；配合财政、教科等部门督导检查学校建设工程的实施情况，积极争取项目支持，进一步改善学校办学条件。</w:t>
      </w:r>
    </w:p>
    <w:p>
      <w:pPr>
        <w:keepNext w:val="0"/>
        <w:keepLines w:val="0"/>
        <w:pageBreakBefore w:val="0"/>
        <w:widowControl w:val="0"/>
        <w:kinsoku/>
        <w:wordWrap/>
        <w:overflowPunct/>
        <w:topLinePunct w:val="0"/>
        <w:autoSpaceDE/>
        <w:autoSpaceDN/>
        <w:bidi w:val="0"/>
        <w:adjustRightInd/>
        <w:snapToGrid w:val="0"/>
        <w:spacing w:line="540" w:lineRule="exact"/>
        <w:ind w:firstLine="480" w:firstLineChars="200"/>
        <w:textAlignment w:val="auto"/>
        <w:rPr>
          <w:rFonts w:ascii="仿宋_GB2312" w:eastAsia="仿宋_GB2312"/>
          <w:sz w:val="24"/>
          <w:szCs w:val="24"/>
        </w:rPr>
      </w:pPr>
      <w:r>
        <w:rPr>
          <w:rFonts w:hint="eastAsia" w:ascii="仿宋_GB2312" w:eastAsia="仿宋_GB2312"/>
          <w:sz w:val="24"/>
          <w:szCs w:val="24"/>
        </w:rPr>
        <w:t>市卫生健康和体育局负责督导学校开展学校卫生工作，对饮用水卫生进行监督；配合教科部门指导学校卫生健康工作；指导学校开展卫生教育，培养学生良好卫生习惯；指导学校改善卫生环境和卫生条件，做好中小学生疾病防治以及学生体质检查和有关健康指标的测试工作。</w:t>
      </w:r>
    </w:p>
    <w:p>
      <w:pPr>
        <w:keepNext w:val="0"/>
        <w:keepLines w:val="0"/>
        <w:pageBreakBefore w:val="0"/>
        <w:widowControl w:val="0"/>
        <w:kinsoku/>
        <w:wordWrap/>
        <w:overflowPunct/>
        <w:topLinePunct w:val="0"/>
        <w:autoSpaceDE/>
        <w:autoSpaceDN/>
        <w:bidi w:val="0"/>
        <w:adjustRightInd/>
        <w:snapToGrid w:val="0"/>
        <w:spacing w:line="540" w:lineRule="exact"/>
        <w:ind w:firstLine="480" w:firstLineChars="200"/>
        <w:textAlignment w:val="auto"/>
        <w:rPr>
          <w:rFonts w:ascii="仿宋_GB2312" w:eastAsia="仿宋_GB2312"/>
          <w:sz w:val="24"/>
          <w:szCs w:val="24"/>
        </w:rPr>
      </w:pPr>
      <w:r>
        <w:rPr>
          <w:rFonts w:hint="eastAsia" w:ascii="仿宋_GB2312" w:eastAsia="仿宋_GB2312"/>
          <w:sz w:val="24"/>
          <w:szCs w:val="24"/>
        </w:rPr>
        <w:t>市住房城乡建设局负责学校周边建筑施工安全生产工作；协助做好学校建设项目的招投标工作，对项目建设过程中的质量安全监督管理。</w:t>
      </w:r>
    </w:p>
    <w:p>
      <w:pPr>
        <w:keepNext w:val="0"/>
        <w:keepLines w:val="0"/>
        <w:pageBreakBefore w:val="0"/>
        <w:widowControl w:val="0"/>
        <w:kinsoku/>
        <w:wordWrap/>
        <w:overflowPunct/>
        <w:topLinePunct w:val="0"/>
        <w:autoSpaceDE/>
        <w:autoSpaceDN/>
        <w:bidi w:val="0"/>
        <w:adjustRightInd/>
        <w:snapToGrid w:val="0"/>
        <w:spacing w:line="540" w:lineRule="exact"/>
        <w:ind w:firstLine="480" w:firstLineChars="200"/>
        <w:textAlignment w:val="auto"/>
        <w:rPr>
          <w:rFonts w:ascii="仿宋_GB2312" w:eastAsia="仿宋_GB2312"/>
          <w:sz w:val="24"/>
          <w:szCs w:val="24"/>
        </w:rPr>
      </w:pPr>
      <w:r>
        <w:rPr>
          <w:rFonts w:hint="eastAsia" w:ascii="仿宋_GB2312" w:eastAsia="仿宋_GB2312"/>
          <w:sz w:val="24"/>
          <w:szCs w:val="24"/>
        </w:rPr>
        <w:t>市市场监管局负责依法清理取缔区域内各种违规培训班和招生广告；监督管理学校周边及食品安全，切实维护学校及师生合法权益。</w:t>
      </w:r>
    </w:p>
    <w:p>
      <w:pPr>
        <w:keepNext w:val="0"/>
        <w:keepLines w:val="0"/>
        <w:pageBreakBefore w:val="0"/>
        <w:widowControl w:val="0"/>
        <w:kinsoku/>
        <w:wordWrap/>
        <w:overflowPunct/>
        <w:topLinePunct w:val="0"/>
        <w:autoSpaceDE/>
        <w:autoSpaceDN/>
        <w:bidi w:val="0"/>
        <w:adjustRightInd/>
        <w:snapToGrid w:val="0"/>
        <w:spacing w:line="540" w:lineRule="exact"/>
        <w:ind w:firstLine="480" w:firstLineChars="200"/>
        <w:textAlignment w:val="auto"/>
        <w:rPr>
          <w:rFonts w:ascii="仿宋_GB2312" w:eastAsia="仿宋_GB2312"/>
          <w:sz w:val="24"/>
          <w:szCs w:val="24"/>
        </w:rPr>
      </w:pPr>
      <w:r>
        <w:rPr>
          <w:rFonts w:hint="eastAsia" w:ascii="仿宋_GB2312" w:eastAsia="仿宋_GB2312"/>
          <w:sz w:val="24"/>
          <w:szCs w:val="24"/>
        </w:rPr>
        <w:t>市统计局负责准确提供全市相关统计数据，确保上报数据准确无误。</w:t>
      </w:r>
    </w:p>
    <w:p>
      <w:pPr>
        <w:keepNext w:val="0"/>
        <w:keepLines w:val="0"/>
        <w:pageBreakBefore w:val="0"/>
        <w:widowControl w:val="0"/>
        <w:kinsoku/>
        <w:wordWrap/>
        <w:overflowPunct/>
        <w:topLinePunct w:val="0"/>
        <w:autoSpaceDE/>
        <w:autoSpaceDN/>
        <w:bidi w:val="0"/>
        <w:adjustRightInd/>
        <w:snapToGrid w:val="0"/>
        <w:spacing w:line="540" w:lineRule="exact"/>
        <w:ind w:firstLine="480" w:firstLineChars="200"/>
        <w:textAlignment w:val="auto"/>
        <w:rPr>
          <w:rFonts w:ascii="仿宋_GB2312" w:eastAsia="仿宋_GB2312"/>
          <w:sz w:val="24"/>
          <w:szCs w:val="24"/>
        </w:rPr>
      </w:pPr>
      <w:r>
        <w:rPr>
          <w:rFonts w:hint="eastAsia" w:ascii="仿宋_GB2312" w:eastAsia="仿宋_GB2312"/>
          <w:sz w:val="24"/>
          <w:szCs w:val="24"/>
        </w:rPr>
        <w:t>市妇联、市残联负责关心贫困家庭子女、留守儿童、残疾儿童、孤儿等特殊群体学生的学习、生活，做好帮困助学工作，为家庭生活特别困难的中小学生提供必要的政策支持和经济援助；关爱残疾儿童，配合乡（镇、街道）、教科部门动员残疾儿童入学接受义务教育。</w:t>
      </w:r>
    </w:p>
    <w:p>
      <w:pPr>
        <w:keepNext w:val="0"/>
        <w:keepLines w:val="0"/>
        <w:pageBreakBefore w:val="0"/>
        <w:widowControl w:val="0"/>
        <w:kinsoku/>
        <w:wordWrap/>
        <w:overflowPunct/>
        <w:topLinePunct w:val="0"/>
        <w:autoSpaceDE/>
        <w:autoSpaceDN/>
        <w:bidi w:val="0"/>
        <w:adjustRightInd/>
        <w:snapToGrid w:val="0"/>
        <w:spacing w:line="540" w:lineRule="exact"/>
        <w:ind w:firstLine="480" w:firstLineChars="200"/>
        <w:textAlignment w:val="auto"/>
        <w:rPr>
          <w:rFonts w:ascii="仿宋_GB2312" w:eastAsia="仿宋_GB2312"/>
          <w:sz w:val="24"/>
          <w:szCs w:val="24"/>
        </w:rPr>
      </w:pPr>
      <w:r>
        <w:rPr>
          <w:rFonts w:hint="eastAsia" w:ascii="仿宋_GB2312" w:eastAsia="仿宋_GB2312"/>
          <w:sz w:val="24"/>
          <w:szCs w:val="24"/>
        </w:rPr>
        <w:t>市公安局全力开展校园及周边环境大检查，严格落实校园安全常态化勤务，不断加强校园安全风险防控，及时解决校园及周边社会治安突出问题，落实“护学岗”制度的要求，进一步筑牢安全屏障，维护校园安全稳定。</w:t>
      </w:r>
    </w:p>
    <w:p>
      <w:pPr>
        <w:keepNext w:val="0"/>
        <w:keepLines w:val="0"/>
        <w:pageBreakBefore w:val="0"/>
        <w:widowControl w:val="0"/>
        <w:kinsoku/>
        <w:wordWrap/>
        <w:overflowPunct/>
        <w:topLinePunct w:val="0"/>
        <w:autoSpaceDE/>
        <w:autoSpaceDN/>
        <w:bidi w:val="0"/>
        <w:adjustRightInd/>
        <w:snapToGrid w:val="0"/>
        <w:spacing w:line="540" w:lineRule="exact"/>
        <w:ind w:firstLine="480" w:firstLineChars="200"/>
        <w:textAlignment w:val="auto"/>
        <w:rPr>
          <w:rFonts w:ascii="仿宋_GB2312" w:eastAsia="仿宋_GB2312"/>
          <w:sz w:val="24"/>
          <w:szCs w:val="24"/>
        </w:rPr>
      </w:pPr>
      <w:r>
        <w:rPr>
          <w:rFonts w:hint="eastAsia" w:ascii="仿宋_GB2312" w:eastAsia="仿宋_GB2312"/>
          <w:sz w:val="24"/>
          <w:szCs w:val="24"/>
        </w:rPr>
        <w:t>市公安局交警大队负责设置校园周边交通安全警示牌、减（限）速装置，维持上下学高峰时段交通秩序。</w:t>
      </w:r>
    </w:p>
    <w:p>
      <w:pPr>
        <w:keepNext w:val="0"/>
        <w:keepLines w:val="0"/>
        <w:pageBreakBefore w:val="0"/>
        <w:widowControl w:val="0"/>
        <w:kinsoku/>
        <w:wordWrap/>
        <w:overflowPunct/>
        <w:topLinePunct w:val="0"/>
        <w:autoSpaceDE/>
        <w:autoSpaceDN/>
        <w:bidi w:val="0"/>
        <w:adjustRightInd/>
        <w:snapToGrid w:val="0"/>
        <w:spacing w:line="540" w:lineRule="exact"/>
        <w:ind w:firstLine="480" w:firstLineChars="200"/>
        <w:textAlignment w:val="auto"/>
        <w:rPr>
          <w:rFonts w:ascii="仿宋_GB2312" w:eastAsia="仿宋_GB2312"/>
          <w:sz w:val="24"/>
          <w:szCs w:val="24"/>
        </w:rPr>
      </w:pPr>
      <w:r>
        <w:rPr>
          <w:rFonts w:hint="eastAsia" w:ascii="仿宋_GB2312" w:eastAsia="仿宋_GB2312"/>
          <w:sz w:val="24"/>
          <w:szCs w:val="24"/>
        </w:rPr>
        <w:t>各乡（镇、街道）负责组织和动员辖区内适龄儿童少年按时入学，履行控辍保学责任；建立以政府为主导，社会各方面广泛参与的留守儿童关爱体系；协助改善学校办学条件；根据辖区内人口变化，协助做好学校规划布局调整工作；做好学校及周边社会治安综合治理工作，确保学校安全稳定以及国家法律法规规定的其他教育工作职责。</w:t>
      </w:r>
    </w:p>
    <w:p>
      <w:pPr>
        <w:keepNext w:val="0"/>
        <w:keepLines w:val="0"/>
        <w:pageBreakBefore w:val="0"/>
        <w:widowControl w:val="0"/>
        <w:kinsoku/>
        <w:wordWrap/>
        <w:overflowPunct/>
        <w:topLinePunct w:val="0"/>
        <w:autoSpaceDE/>
        <w:autoSpaceDN/>
        <w:bidi w:val="0"/>
        <w:adjustRightInd/>
        <w:snapToGrid w:val="0"/>
        <w:spacing w:line="540" w:lineRule="exact"/>
        <w:textAlignment w:val="auto"/>
        <w:rPr>
          <w:rFonts w:ascii="仿宋_GB2312" w:eastAsia="仿宋_GB2312"/>
          <w:sz w:val="24"/>
          <w:szCs w:val="24"/>
        </w:rPr>
      </w:pPr>
    </w:p>
    <w:p>
      <w:pPr>
        <w:keepNext w:val="0"/>
        <w:keepLines w:val="0"/>
        <w:pageBreakBefore w:val="0"/>
        <w:widowControl w:val="0"/>
        <w:kinsoku/>
        <w:wordWrap/>
        <w:overflowPunct/>
        <w:topLinePunct w:val="0"/>
        <w:autoSpaceDE/>
        <w:autoSpaceDN/>
        <w:bidi w:val="0"/>
        <w:adjustRightInd/>
        <w:snapToGrid w:val="0"/>
        <w:spacing w:line="540" w:lineRule="exact"/>
        <w:textAlignment w:val="auto"/>
        <w:rPr>
          <w:rFonts w:hint="eastAsia" w:ascii="仿宋_GB2312" w:eastAsia="仿宋_GB2312"/>
          <w:sz w:val="24"/>
          <w:szCs w:val="24"/>
        </w:rPr>
      </w:pPr>
    </w:p>
    <w:p>
      <w:pPr>
        <w:keepNext w:val="0"/>
        <w:keepLines w:val="0"/>
        <w:pageBreakBefore w:val="0"/>
        <w:widowControl w:val="0"/>
        <w:kinsoku/>
        <w:wordWrap/>
        <w:overflowPunct/>
        <w:topLinePunct w:val="0"/>
        <w:autoSpaceDE/>
        <w:autoSpaceDN/>
        <w:bidi w:val="0"/>
        <w:adjustRightInd/>
        <w:snapToGrid w:val="0"/>
        <w:spacing w:line="540" w:lineRule="exact"/>
        <w:ind w:left="1680" w:leftChars="200" w:hanging="1200" w:hangingChars="500"/>
        <w:jc w:val="center"/>
        <w:textAlignment w:val="auto"/>
        <w:rPr>
          <w:rFonts w:hint="eastAsia" w:ascii="仿宋_GB2312" w:eastAsia="仿宋_GB2312"/>
          <w:sz w:val="24"/>
          <w:szCs w:val="24"/>
        </w:rPr>
      </w:pPr>
      <w:r>
        <w:rPr>
          <w:rFonts w:hint="eastAsia" w:ascii="仿宋_GB2312" w:eastAsia="仿宋_GB2312"/>
          <w:sz w:val="24"/>
          <w:szCs w:val="24"/>
        </w:rPr>
        <w:t>原平市人民政府办公室</w:t>
      </w:r>
    </w:p>
    <w:p>
      <w:pPr>
        <w:keepNext w:val="0"/>
        <w:keepLines w:val="0"/>
        <w:pageBreakBefore w:val="0"/>
        <w:widowControl w:val="0"/>
        <w:kinsoku/>
        <w:wordWrap/>
        <w:overflowPunct/>
        <w:topLinePunct w:val="0"/>
        <w:autoSpaceDE/>
        <w:autoSpaceDN/>
        <w:bidi w:val="0"/>
        <w:adjustRightInd/>
        <w:snapToGrid w:val="0"/>
        <w:spacing w:line="540" w:lineRule="exact"/>
        <w:ind w:left="1680" w:leftChars="200" w:hanging="1200" w:hangingChars="500"/>
        <w:jc w:val="center"/>
        <w:textAlignment w:val="auto"/>
        <w:rPr>
          <w:rFonts w:hint="eastAsia" w:ascii="仿宋_GB2312" w:eastAsia="仿宋_GB2312"/>
          <w:sz w:val="24"/>
          <w:szCs w:val="24"/>
        </w:rPr>
        <w:sectPr>
          <w:type w:val="continuous"/>
          <w:pgSz w:w="12240" w:h="16498"/>
          <w:pgMar w:top="1145" w:right="1389" w:bottom="1134" w:left="1389" w:header="1043" w:footer="992" w:gutter="0"/>
          <w:pgNumType w:fmt="decimal"/>
          <w:cols w:equalWidth="0" w:num="2">
            <w:col w:w="4518" w:space="425"/>
            <w:col w:w="4518"/>
          </w:cols>
          <w:rtlGutter w:val="0"/>
          <w:docGrid w:type="lines" w:linePitch="312" w:charSpace="0"/>
        </w:sectPr>
      </w:pPr>
      <w:r>
        <w:rPr>
          <w:rFonts w:ascii="仿宋_GB2312" w:eastAsia="仿宋_GB2312"/>
          <w:sz w:val="24"/>
          <w:szCs w:val="24"/>
        </w:rPr>
        <w:t>2022</w:t>
      </w:r>
      <w:r>
        <w:rPr>
          <w:rFonts w:hint="eastAsia" w:ascii="仿宋_GB2312" w:eastAsia="仿宋_GB2312"/>
          <w:sz w:val="24"/>
          <w:szCs w:val="24"/>
        </w:rPr>
        <w:t>年9月29日</w:t>
      </w:r>
    </w:p>
    <w:p>
      <w:pPr>
        <w:keepNext w:val="0"/>
        <w:keepLines w:val="0"/>
        <w:pageBreakBefore w:val="0"/>
        <w:widowControl w:val="0"/>
        <w:kinsoku/>
        <w:wordWrap w:val="0"/>
        <w:overflowPunct/>
        <w:topLinePunct w:val="0"/>
        <w:autoSpaceDE/>
        <w:autoSpaceDN/>
        <w:bidi w:val="0"/>
        <w:adjustRightInd/>
        <w:snapToGrid w:val="0"/>
        <w:spacing w:line="500" w:lineRule="exact"/>
        <w:jc w:val="right"/>
        <w:textAlignment w:val="auto"/>
        <w:rPr>
          <w:rFonts w:ascii="仿宋_GB2312" w:eastAsia="仿宋_GB2312"/>
          <w:sz w:val="24"/>
          <w:szCs w:val="24"/>
        </w:rPr>
      </w:pPr>
    </w:p>
    <w:p>
      <w:pPr>
        <w:rPr>
          <w:rFonts w:hint="eastAsia" w:ascii="仿宋_GB2312" w:eastAsia="仿宋_GB2312"/>
          <w:sz w:val="24"/>
          <w:szCs w:val="24"/>
          <w:lang w:val="en-US" w:eastAsia="zh-CN"/>
        </w:rPr>
      </w:pPr>
      <w:r>
        <w:rPr>
          <w:rFonts w:hint="eastAsia" w:ascii="仿宋_GB2312" w:eastAsia="仿宋_GB2312"/>
          <w:sz w:val="24"/>
          <w:szCs w:val="24"/>
          <w:lang w:val="en-US" w:eastAsia="zh-CN"/>
        </w:rPr>
        <w:br w:type="page"/>
      </w:r>
    </w:p>
    <w:p>
      <w:pPr>
        <w:pageBreakBefore w:val="0"/>
        <w:widowControl w:val="0"/>
        <w:wordWrap/>
        <w:overflowPunct/>
        <w:topLinePunct w:val="0"/>
        <w:bidi w:val="0"/>
        <w:snapToGrid w:val="0"/>
        <w:spacing w:line="500" w:lineRule="exact"/>
        <w:ind w:firstLine="480" w:firstLineChars="200"/>
        <w:jc w:val="right"/>
        <w:rPr>
          <w:rFonts w:hint="eastAsia" w:ascii="仿宋_GB2312" w:hAnsi="仿宋" w:eastAsia="仿宋_GB2312" w:cs="仿宋"/>
          <w:sz w:val="24"/>
          <w:szCs w:val="24"/>
        </w:rPr>
        <w:sectPr>
          <w:type w:val="continuous"/>
          <w:pgSz w:w="12240" w:h="16498"/>
          <w:pgMar w:top="1145" w:right="1389" w:bottom="1134" w:left="1389" w:header="1043" w:footer="992" w:gutter="0"/>
          <w:pgNumType w:fmt="decimal"/>
          <w:cols w:equalWidth="0" w:num="2">
            <w:col w:w="4518" w:space="425"/>
            <w:col w:w="4518"/>
          </w:cols>
          <w:rtlGutter w:val="0"/>
          <w:docGrid w:type="lines" w:linePitch="312" w:charSpace="0"/>
        </w:sectPr>
      </w:pPr>
    </w:p>
    <w:p>
      <w:pPr>
        <w:pStyle w:val="2"/>
        <w:bidi w:val="0"/>
        <w:rPr>
          <w:rFonts w:hint="eastAsia"/>
        </w:rPr>
      </w:pPr>
    </w:p>
    <w:p>
      <w:pPr>
        <w:pStyle w:val="2"/>
        <w:bidi w:val="0"/>
        <w:rPr>
          <w:rFonts w:hint="eastAsia"/>
        </w:rPr>
      </w:pPr>
      <w:bookmarkStart w:id="161" w:name="_Toc24425"/>
      <w:bookmarkStart w:id="162" w:name="_Toc20671"/>
      <w:r>
        <w:rPr>
          <w:rFonts w:hint="eastAsia"/>
        </w:rPr>
        <w:t>原平市人民政府</w:t>
      </w:r>
      <w:bookmarkEnd w:id="161"/>
      <w:bookmarkEnd w:id="162"/>
    </w:p>
    <w:p>
      <w:pPr>
        <w:pStyle w:val="2"/>
        <w:bidi w:val="0"/>
        <w:rPr>
          <w:rFonts w:hint="eastAsia"/>
        </w:rPr>
      </w:pPr>
      <w:bookmarkStart w:id="163" w:name="_Toc1338"/>
      <w:bookmarkStart w:id="164" w:name="_Toc22782"/>
      <w:r>
        <w:rPr>
          <w:rFonts w:hint="eastAsia"/>
        </w:rPr>
        <w:t>关于王文慧任职的通知</w:t>
      </w:r>
      <w:bookmarkEnd w:id="163"/>
      <w:bookmarkEnd w:id="164"/>
    </w:p>
    <w:p>
      <w:pPr>
        <w:pageBreakBefore w:val="0"/>
        <w:widowControl w:val="0"/>
        <w:wordWrap/>
        <w:overflowPunct/>
        <w:topLinePunct w:val="0"/>
        <w:bidi w:val="0"/>
        <w:snapToGrid w:val="0"/>
        <w:spacing w:line="500" w:lineRule="exact"/>
        <w:ind w:firstLine="480" w:firstLineChars="200"/>
        <w:rPr>
          <w:rFonts w:hint="eastAsia" w:ascii="仿宋_GB2312" w:hAnsi="仿宋" w:eastAsia="仿宋_GB2312" w:cs="仿宋"/>
          <w:sz w:val="24"/>
          <w:szCs w:val="24"/>
        </w:rPr>
      </w:pPr>
    </w:p>
    <w:p>
      <w:pPr>
        <w:pStyle w:val="3"/>
        <w:bidi w:val="0"/>
        <w:rPr>
          <w:rFonts w:hint="eastAsia"/>
        </w:rPr>
      </w:pPr>
      <w:bookmarkStart w:id="165" w:name="_Toc27025"/>
      <w:r>
        <w:rPr>
          <w:rFonts w:hint="eastAsia"/>
        </w:rPr>
        <w:t>原政任〔2022〕18号</w:t>
      </w:r>
      <w:bookmarkEnd w:id="165"/>
    </w:p>
    <w:p>
      <w:pPr>
        <w:pageBreakBefore w:val="0"/>
        <w:widowControl w:val="0"/>
        <w:wordWrap/>
        <w:overflowPunct/>
        <w:topLinePunct w:val="0"/>
        <w:bidi w:val="0"/>
        <w:snapToGrid w:val="0"/>
        <w:spacing w:line="500" w:lineRule="exact"/>
        <w:ind w:left="0" w:leftChars="0" w:firstLine="0" w:firstLineChars="0"/>
        <w:rPr>
          <w:rFonts w:hint="eastAsia" w:ascii="仿宋_GB2312" w:hAnsi="仿宋" w:eastAsia="仿宋_GB2312" w:cs="仿宋"/>
          <w:sz w:val="24"/>
          <w:szCs w:val="24"/>
        </w:rPr>
      </w:pPr>
      <w:r>
        <w:rPr>
          <w:rFonts w:hint="eastAsia" w:ascii="仿宋_GB2312" w:hAnsi="仿宋" w:eastAsia="仿宋_GB2312" w:cs="仿宋"/>
          <w:sz w:val="24"/>
          <w:szCs w:val="24"/>
        </w:rPr>
        <w:t>各乡（镇）人民政府，各有关单位：</w:t>
      </w:r>
    </w:p>
    <w:p>
      <w:pPr>
        <w:pageBreakBefore w:val="0"/>
        <w:widowControl w:val="0"/>
        <w:wordWrap/>
        <w:overflowPunct/>
        <w:topLinePunct w:val="0"/>
        <w:bidi w:val="0"/>
        <w:snapToGrid w:val="0"/>
        <w:spacing w:line="500" w:lineRule="exact"/>
        <w:ind w:firstLine="480" w:firstLineChars="200"/>
        <w:rPr>
          <w:rFonts w:hint="eastAsia" w:ascii="仿宋_GB2312" w:hAnsi="仿宋" w:eastAsia="仿宋_GB2312" w:cs="仿宋"/>
          <w:sz w:val="24"/>
          <w:szCs w:val="24"/>
        </w:rPr>
      </w:pPr>
      <w:r>
        <w:rPr>
          <w:rFonts w:hint="eastAsia" w:ascii="仿宋_GB2312" w:hAnsi="仿宋" w:eastAsia="仿宋_GB2312" w:cs="仿宋"/>
          <w:sz w:val="24"/>
          <w:szCs w:val="24"/>
        </w:rPr>
        <w:t>经2022年9月7日市政府党组会议研究，决定任命：</w:t>
      </w:r>
    </w:p>
    <w:p>
      <w:pPr>
        <w:pageBreakBefore w:val="0"/>
        <w:widowControl w:val="0"/>
        <w:wordWrap/>
        <w:overflowPunct/>
        <w:topLinePunct w:val="0"/>
        <w:bidi w:val="0"/>
        <w:snapToGrid w:val="0"/>
        <w:spacing w:line="500" w:lineRule="exact"/>
        <w:ind w:firstLine="480" w:firstLineChars="200"/>
        <w:rPr>
          <w:rFonts w:hint="eastAsia" w:ascii="仿宋_GB2312" w:hAnsi="仿宋" w:eastAsia="仿宋_GB2312" w:cs="仿宋"/>
          <w:sz w:val="24"/>
          <w:szCs w:val="24"/>
        </w:rPr>
      </w:pPr>
      <w:r>
        <w:rPr>
          <w:rFonts w:hint="eastAsia" w:ascii="仿宋_GB2312" w:hAnsi="仿宋" w:eastAsia="仿宋_GB2312" w:cs="仿宋"/>
          <w:sz w:val="24"/>
          <w:szCs w:val="24"/>
        </w:rPr>
        <w:t>王文慧为市公安局南城派出所副所长（试用期一年）。</w:t>
      </w:r>
    </w:p>
    <w:p>
      <w:pPr>
        <w:pageBreakBefore w:val="0"/>
        <w:widowControl w:val="0"/>
        <w:wordWrap/>
        <w:overflowPunct/>
        <w:topLinePunct w:val="0"/>
        <w:bidi w:val="0"/>
        <w:snapToGrid w:val="0"/>
        <w:spacing w:line="500" w:lineRule="exact"/>
        <w:ind w:firstLine="480" w:firstLineChars="200"/>
        <w:rPr>
          <w:rFonts w:hint="eastAsia" w:ascii="仿宋_GB2312" w:hAnsi="仿宋" w:eastAsia="仿宋_GB2312" w:cs="仿宋"/>
          <w:sz w:val="24"/>
          <w:szCs w:val="24"/>
        </w:rPr>
      </w:pPr>
    </w:p>
    <w:p>
      <w:pPr>
        <w:pageBreakBefore w:val="0"/>
        <w:widowControl w:val="0"/>
        <w:wordWrap/>
        <w:overflowPunct/>
        <w:topLinePunct w:val="0"/>
        <w:bidi w:val="0"/>
        <w:snapToGrid w:val="0"/>
        <w:spacing w:line="500" w:lineRule="exact"/>
        <w:ind w:leftChars="2200" w:firstLine="480" w:firstLineChars="200"/>
        <w:jc w:val="center"/>
        <w:rPr>
          <w:rFonts w:hint="eastAsia" w:ascii="仿宋_GB2312" w:hAnsi="仿宋" w:eastAsia="仿宋_GB2312" w:cs="仿宋"/>
          <w:sz w:val="24"/>
          <w:szCs w:val="24"/>
        </w:rPr>
      </w:pPr>
      <w:r>
        <w:rPr>
          <w:rFonts w:hint="eastAsia" w:ascii="仿宋_GB2312" w:hAnsi="仿宋" w:eastAsia="仿宋_GB2312" w:cs="仿宋"/>
          <w:sz w:val="24"/>
          <w:szCs w:val="24"/>
        </w:rPr>
        <w:t>原平市人民政府</w:t>
      </w:r>
    </w:p>
    <w:p>
      <w:pPr>
        <w:pageBreakBefore w:val="0"/>
        <w:widowControl w:val="0"/>
        <w:wordWrap/>
        <w:overflowPunct/>
        <w:topLinePunct w:val="0"/>
        <w:bidi w:val="0"/>
        <w:snapToGrid w:val="0"/>
        <w:spacing w:line="500" w:lineRule="exact"/>
        <w:ind w:leftChars="2200" w:firstLine="480" w:firstLineChars="200"/>
        <w:jc w:val="center"/>
        <w:rPr>
          <w:rFonts w:hint="eastAsia" w:ascii="仿宋_GB2312" w:hAnsi="仿宋" w:eastAsia="仿宋_GB2312" w:cs="仿宋"/>
          <w:sz w:val="24"/>
          <w:szCs w:val="24"/>
        </w:rPr>
      </w:pPr>
      <w:r>
        <w:rPr>
          <w:rFonts w:hint="eastAsia" w:ascii="仿宋_GB2312" w:hAnsi="仿宋" w:eastAsia="仿宋_GB2312" w:cs="仿宋"/>
          <w:sz w:val="24"/>
          <w:szCs w:val="24"/>
        </w:rPr>
        <w:t>2022年9月7日</w:t>
      </w:r>
    </w:p>
    <w:p>
      <w:pPr>
        <w:pageBreakBefore w:val="0"/>
        <w:widowControl w:val="0"/>
        <w:wordWrap/>
        <w:overflowPunct/>
        <w:topLinePunct w:val="0"/>
        <w:bidi w:val="0"/>
        <w:snapToGrid w:val="0"/>
        <w:spacing w:line="500" w:lineRule="exact"/>
        <w:ind w:leftChars="2200" w:firstLine="480" w:firstLineChars="200"/>
        <w:jc w:val="center"/>
        <w:rPr>
          <w:rFonts w:hint="eastAsia" w:ascii="仿宋_GB2312" w:hAnsi="仿宋" w:eastAsia="仿宋_GB2312" w:cs="仿宋"/>
          <w:sz w:val="24"/>
          <w:szCs w:val="24"/>
        </w:rPr>
      </w:pPr>
    </w:p>
    <w:p>
      <w:pPr>
        <w:pStyle w:val="2"/>
        <w:bidi w:val="0"/>
        <w:rPr>
          <w:rFonts w:hint="eastAsia"/>
        </w:rPr>
      </w:pPr>
      <w:bookmarkStart w:id="166" w:name="_Toc20229"/>
      <w:bookmarkStart w:id="167" w:name="_Toc32086"/>
      <w:r>
        <w:rPr>
          <w:rFonts w:hint="eastAsia"/>
        </w:rPr>
        <w:t>原平市人民政府</w:t>
      </w:r>
      <w:bookmarkEnd w:id="166"/>
      <w:bookmarkEnd w:id="167"/>
    </w:p>
    <w:p>
      <w:pPr>
        <w:pStyle w:val="2"/>
        <w:bidi w:val="0"/>
        <w:rPr>
          <w:rFonts w:hint="eastAsia"/>
        </w:rPr>
      </w:pPr>
      <w:bookmarkStart w:id="168" w:name="_Toc19936"/>
      <w:bookmarkStart w:id="169" w:name="_Toc31036"/>
      <w:r>
        <w:rPr>
          <w:rFonts w:hint="eastAsia"/>
        </w:rPr>
        <w:t>关于杨存良等任职的通知</w:t>
      </w:r>
      <w:bookmarkEnd w:id="168"/>
      <w:bookmarkEnd w:id="169"/>
    </w:p>
    <w:p>
      <w:pPr>
        <w:rPr>
          <w:rFonts w:hint="eastAsia"/>
        </w:rPr>
      </w:pPr>
    </w:p>
    <w:p>
      <w:pPr>
        <w:pStyle w:val="3"/>
        <w:bidi w:val="0"/>
        <w:rPr>
          <w:rFonts w:hint="eastAsia"/>
        </w:rPr>
      </w:pPr>
      <w:bookmarkStart w:id="170" w:name="_Toc2264"/>
      <w:r>
        <w:rPr>
          <w:rFonts w:hint="eastAsia"/>
        </w:rPr>
        <w:t>原政任〔2022〕20号</w:t>
      </w:r>
      <w:bookmarkEnd w:id="170"/>
    </w:p>
    <w:p>
      <w:pPr>
        <w:pageBreakBefore w:val="0"/>
        <w:widowControl w:val="0"/>
        <w:wordWrap/>
        <w:overflowPunct/>
        <w:topLinePunct w:val="0"/>
        <w:bidi w:val="0"/>
        <w:snapToGrid w:val="0"/>
        <w:spacing w:line="500" w:lineRule="exact"/>
        <w:ind w:left="0" w:leftChars="0" w:firstLine="0" w:firstLineChars="0"/>
        <w:rPr>
          <w:rFonts w:hint="eastAsia" w:ascii="仿宋_GB2312" w:hAnsi="仿宋" w:eastAsia="仿宋_GB2312" w:cs="仿宋"/>
          <w:sz w:val="24"/>
          <w:szCs w:val="24"/>
        </w:rPr>
      </w:pPr>
      <w:r>
        <w:rPr>
          <w:rFonts w:hint="eastAsia" w:ascii="仿宋_GB2312" w:hAnsi="仿宋" w:eastAsia="仿宋_GB2312" w:cs="仿宋"/>
          <w:sz w:val="24"/>
          <w:szCs w:val="24"/>
        </w:rPr>
        <w:t>各乡（镇）人民政府，各有关单位：</w:t>
      </w:r>
    </w:p>
    <w:p>
      <w:pPr>
        <w:pageBreakBefore w:val="0"/>
        <w:widowControl w:val="0"/>
        <w:wordWrap/>
        <w:overflowPunct/>
        <w:topLinePunct w:val="0"/>
        <w:bidi w:val="0"/>
        <w:snapToGrid w:val="0"/>
        <w:spacing w:line="500" w:lineRule="exact"/>
        <w:ind w:firstLine="480" w:firstLineChars="200"/>
        <w:rPr>
          <w:rFonts w:hint="eastAsia" w:ascii="仿宋_GB2312" w:hAnsi="仿宋" w:eastAsia="仿宋_GB2312" w:cs="仿宋"/>
          <w:sz w:val="24"/>
          <w:szCs w:val="24"/>
        </w:rPr>
      </w:pPr>
      <w:r>
        <w:rPr>
          <w:rFonts w:hint="eastAsia" w:ascii="仿宋_GB2312" w:hAnsi="仿宋" w:eastAsia="仿宋_GB2312" w:cs="仿宋"/>
          <w:sz w:val="24"/>
          <w:szCs w:val="24"/>
        </w:rPr>
        <w:t>经2022年10月25日市政府党组会议研究，决定任命：</w:t>
      </w:r>
    </w:p>
    <w:p>
      <w:pPr>
        <w:pageBreakBefore w:val="0"/>
        <w:widowControl w:val="0"/>
        <w:wordWrap/>
        <w:overflowPunct/>
        <w:topLinePunct w:val="0"/>
        <w:bidi w:val="0"/>
        <w:snapToGrid w:val="0"/>
        <w:spacing w:line="500" w:lineRule="exact"/>
        <w:ind w:firstLine="480" w:firstLineChars="200"/>
        <w:rPr>
          <w:rFonts w:hint="eastAsia" w:ascii="仿宋_GB2312" w:hAnsi="仿宋" w:eastAsia="仿宋_GB2312" w:cs="仿宋"/>
          <w:sz w:val="24"/>
          <w:szCs w:val="24"/>
        </w:rPr>
      </w:pPr>
      <w:r>
        <w:rPr>
          <w:rFonts w:hint="eastAsia" w:ascii="仿宋_GB2312" w:hAnsi="仿宋" w:eastAsia="仿宋_GB2312" w:cs="仿宋"/>
          <w:sz w:val="24"/>
          <w:szCs w:val="24"/>
        </w:rPr>
        <w:t>杨存良为原平市农作物原种服务中心主任；</w:t>
      </w:r>
    </w:p>
    <w:p>
      <w:pPr>
        <w:pageBreakBefore w:val="0"/>
        <w:widowControl w:val="0"/>
        <w:wordWrap/>
        <w:overflowPunct/>
        <w:topLinePunct w:val="0"/>
        <w:bidi w:val="0"/>
        <w:snapToGrid w:val="0"/>
        <w:spacing w:line="500" w:lineRule="exact"/>
        <w:ind w:firstLine="480" w:firstLineChars="200"/>
        <w:rPr>
          <w:rFonts w:hint="eastAsia" w:ascii="仿宋_GB2312" w:hAnsi="仿宋" w:eastAsia="仿宋_GB2312" w:cs="仿宋"/>
          <w:sz w:val="24"/>
          <w:szCs w:val="24"/>
        </w:rPr>
      </w:pPr>
      <w:r>
        <w:rPr>
          <w:rFonts w:hint="eastAsia" w:ascii="仿宋_GB2312" w:hAnsi="仿宋" w:eastAsia="仿宋_GB2312" w:cs="仿宋"/>
          <w:sz w:val="24"/>
          <w:szCs w:val="24"/>
        </w:rPr>
        <w:t>田云天为原平市农机技术综合服务站站长。</w:t>
      </w:r>
    </w:p>
    <w:p>
      <w:pPr>
        <w:pageBreakBefore w:val="0"/>
        <w:widowControl w:val="0"/>
        <w:wordWrap/>
        <w:overflowPunct/>
        <w:topLinePunct w:val="0"/>
        <w:bidi w:val="0"/>
        <w:snapToGrid w:val="0"/>
        <w:spacing w:line="500" w:lineRule="exact"/>
        <w:ind w:firstLine="480" w:firstLineChars="200"/>
        <w:rPr>
          <w:rFonts w:hint="eastAsia" w:ascii="仿宋_GB2312" w:hAnsi="仿宋" w:eastAsia="仿宋_GB2312" w:cs="仿宋"/>
          <w:sz w:val="24"/>
          <w:szCs w:val="24"/>
        </w:rPr>
      </w:pPr>
    </w:p>
    <w:p>
      <w:pPr>
        <w:pageBreakBefore w:val="0"/>
        <w:widowControl w:val="0"/>
        <w:wordWrap/>
        <w:overflowPunct/>
        <w:topLinePunct w:val="0"/>
        <w:bidi w:val="0"/>
        <w:snapToGrid w:val="0"/>
        <w:spacing w:line="500" w:lineRule="exact"/>
        <w:ind w:firstLine="480" w:firstLineChars="200"/>
        <w:rPr>
          <w:rFonts w:hint="eastAsia" w:ascii="仿宋_GB2312" w:hAnsi="仿宋" w:eastAsia="仿宋_GB2312" w:cs="仿宋"/>
          <w:sz w:val="24"/>
          <w:szCs w:val="24"/>
        </w:rPr>
      </w:pPr>
    </w:p>
    <w:p>
      <w:pPr>
        <w:pageBreakBefore w:val="0"/>
        <w:widowControl w:val="0"/>
        <w:wordWrap/>
        <w:overflowPunct/>
        <w:topLinePunct w:val="0"/>
        <w:bidi w:val="0"/>
        <w:snapToGrid w:val="0"/>
        <w:spacing w:line="500" w:lineRule="exact"/>
        <w:ind w:leftChars="2100" w:firstLine="480" w:firstLineChars="200"/>
        <w:jc w:val="center"/>
        <w:rPr>
          <w:rFonts w:hint="eastAsia" w:ascii="仿宋_GB2312" w:hAnsi="仿宋" w:eastAsia="仿宋_GB2312" w:cs="仿宋"/>
          <w:sz w:val="24"/>
          <w:szCs w:val="24"/>
        </w:rPr>
      </w:pPr>
      <w:r>
        <w:rPr>
          <w:rFonts w:hint="eastAsia" w:ascii="仿宋_GB2312" w:hAnsi="仿宋" w:eastAsia="仿宋_GB2312" w:cs="仿宋"/>
          <w:sz w:val="24"/>
          <w:szCs w:val="24"/>
        </w:rPr>
        <w:t>原平市人民政府</w:t>
      </w:r>
    </w:p>
    <w:p>
      <w:pPr>
        <w:pageBreakBefore w:val="0"/>
        <w:widowControl w:val="0"/>
        <w:wordWrap/>
        <w:overflowPunct/>
        <w:topLinePunct w:val="0"/>
        <w:bidi w:val="0"/>
        <w:snapToGrid w:val="0"/>
        <w:spacing w:line="500" w:lineRule="exact"/>
        <w:ind w:leftChars="2100" w:firstLine="480" w:firstLineChars="200"/>
        <w:jc w:val="center"/>
        <w:rPr>
          <w:rFonts w:hint="eastAsia" w:ascii="仿宋_GB2312" w:hAnsi="仿宋" w:eastAsia="仿宋_GB2312" w:cs="仿宋"/>
          <w:sz w:val="24"/>
          <w:szCs w:val="24"/>
        </w:rPr>
      </w:pPr>
      <w:r>
        <w:rPr>
          <w:rFonts w:hint="eastAsia" w:ascii="仿宋_GB2312" w:hAnsi="仿宋" w:eastAsia="仿宋_GB2312" w:cs="仿宋"/>
          <w:sz w:val="24"/>
          <w:szCs w:val="24"/>
        </w:rPr>
        <w:t>2022年10月25日</w:t>
      </w:r>
    </w:p>
    <w:p>
      <w:pPr>
        <w:rPr>
          <w:rFonts w:hint="eastAsia" w:ascii="仿宋_GB2312" w:eastAsia="仿宋_GB2312"/>
          <w:sz w:val="32"/>
          <w:szCs w:val="32"/>
        </w:rPr>
      </w:pPr>
      <w:r>
        <w:rPr>
          <w:rFonts w:hint="eastAsia" w:ascii="仿宋_GB2312" w:eastAsia="仿宋_GB2312"/>
          <w:sz w:val="32"/>
          <w:szCs w:val="32"/>
        </w:rPr>
        <w:br w:type="page"/>
      </w:r>
    </w:p>
    <w:p>
      <w:pPr>
        <w:pStyle w:val="2"/>
        <w:bidi w:val="0"/>
        <w:rPr>
          <w:rFonts w:hint="eastAsia"/>
        </w:rPr>
      </w:pPr>
    </w:p>
    <w:p>
      <w:pPr>
        <w:pStyle w:val="2"/>
        <w:bidi w:val="0"/>
        <w:rPr>
          <w:rFonts w:hint="eastAsia"/>
        </w:rPr>
      </w:pPr>
      <w:bookmarkStart w:id="171" w:name="_Toc18122"/>
      <w:bookmarkStart w:id="172" w:name="_Toc5446"/>
      <w:r>
        <w:rPr>
          <w:rFonts w:hint="eastAsia"/>
        </w:rPr>
        <w:t>原平市人民政府</w:t>
      </w:r>
      <w:bookmarkEnd w:id="171"/>
      <w:bookmarkEnd w:id="172"/>
    </w:p>
    <w:p>
      <w:pPr>
        <w:pStyle w:val="2"/>
        <w:bidi w:val="0"/>
        <w:rPr>
          <w:rFonts w:hint="eastAsia"/>
        </w:rPr>
      </w:pPr>
      <w:bookmarkStart w:id="173" w:name="_Toc7439"/>
      <w:bookmarkStart w:id="174" w:name="_Toc11944"/>
      <w:r>
        <w:rPr>
          <w:rFonts w:hint="eastAsia"/>
        </w:rPr>
        <w:t>关于葛茂华等试用期满正式任职的通知</w:t>
      </w:r>
      <w:bookmarkEnd w:id="173"/>
      <w:bookmarkEnd w:id="174"/>
    </w:p>
    <w:p>
      <w:pPr>
        <w:pageBreakBefore w:val="0"/>
        <w:widowControl w:val="0"/>
        <w:wordWrap/>
        <w:overflowPunct/>
        <w:topLinePunct w:val="0"/>
        <w:bidi w:val="0"/>
        <w:snapToGrid w:val="0"/>
        <w:spacing w:line="500" w:lineRule="exact"/>
        <w:ind w:left="0" w:leftChars="0" w:firstLine="0" w:firstLineChars="0"/>
        <w:rPr>
          <w:rFonts w:hint="eastAsia" w:ascii="仿宋_GB2312" w:hAnsi="仿宋" w:eastAsia="仿宋_GB2312" w:cs="仿宋"/>
          <w:sz w:val="24"/>
          <w:szCs w:val="24"/>
        </w:rPr>
      </w:pPr>
    </w:p>
    <w:p>
      <w:pPr>
        <w:pStyle w:val="3"/>
        <w:bidi w:val="0"/>
        <w:rPr>
          <w:rFonts w:hint="eastAsia"/>
        </w:rPr>
      </w:pPr>
      <w:bookmarkStart w:id="175" w:name="_Toc5423"/>
      <w:r>
        <w:rPr>
          <w:rFonts w:hint="eastAsia"/>
        </w:rPr>
        <w:t>原政任〔2022〕21号</w:t>
      </w:r>
      <w:bookmarkEnd w:id="175"/>
    </w:p>
    <w:p>
      <w:pPr>
        <w:pageBreakBefore w:val="0"/>
        <w:widowControl w:val="0"/>
        <w:wordWrap/>
        <w:overflowPunct/>
        <w:topLinePunct w:val="0"/>
        <w:bidi w:val="0"/>
        <w:snapToGrid w:val="0"/>
        <w:spacing w:line="500" w:lineRule="exact"/>
        <w:ind w:left="0" w:leftChars="0" w:firstLine="0" w:firstLineChars="0"/>
        <w:rPr>
          <w:rFonts w:hint="eastAsia" w:ascii="仿宋_GB2312" w:hAnsi="仿宋" w:eastAsia="仿宋_GB2312" w:cs="仿宋"/>
          <w:sz w:val="24"/>
          <w:szCs w:val="24"/>
        </w:rPr>
      </w:pPr>
      <w:r>
        <w:rPr>
          <w:rFonts w:hint="eastAsia" w:ascii="仿宋_GB2312" w:hAnsi="仿宋" w:eastAsia="仿宋_GB2312" w:cs="仿宋"/>
          <w:sz w:val="24"/>
          <w:szCs w:val="24"/>
        </w:rPr>
        <w:t>各乡（镇）人民政府，各有关单位：</w:t>
      </w:r>
    </w:p>
    <w:p>
      <w:pPr>
        <w:pageBreakBefore w:val="0"/>
        <w:widowControl w:val="0"/>
        <w:wordWrap/>
        <w:overflowPunct/>
        <w:topLinePunct w:val="0"/>
        <w:bidi w:val="0"/>
        <w:snapToGrid w:val="0"/>
        <w:spacing w:line="500" w:lineRule="exact"/>
        <w:ind w:firstLine="480" w:firstLineChars="200"/>
        <w:rPr>
          <w:rFonts w:hint="eastAsia" w:ascii="仿宋_GB2312" w:hAnsi="仿宋" w:eastAsia="仿宋_GB2312" w:cs="仿宋"/>
          <w:sz w:val="24"/>
          <w:szCs w:val="24"/>
        </w:rPr>
        <w:sectPr>
          <w:type w:val="continuous"/>
          <w:pgSz w:w="12240" w:h="16498"/>
          <w:pgMar w:top="1145" w:right="1389" w:bottom="1134" w:left="1389" w:header="1043" w:footer="992" w:gutter="0"/>
          <w:pgNumType w:fmt="decimal"/>
          <w:cols w:space="425" w:num="1"/>
          <w:rtlGutter w:val="0"/>
          <w:docGrid w:type="lines" w:linePitch="312" w:charSpace="0"/>
        </w:sectPr>
      </w:pPr>
    </w:p>
    <w:p>
      <w:pPr>
        <w:pageBreakBefore w:val="0"/>
        <w:widowControl w:val="0"/>
        <w:wordWrap/>
        <w:overflowPunct/>
        <w:topLinePunct w:val="0"/>
        <w:bidi w:val="0"/>
        <w:snapToGrid w:val="0"/>
        <w:spacing w:line="500" w:lineRule="exact"/>
        <w:ind w:firstLine="480" w:firstLineChars="200"/>
        <w:rPr>
          <w:rFonts w:hint="eastAsia" w:ascii="仿宋_GB2312" w:hAnsi="仿宋" w:eastAsia="仿宋_GB2312" w:cs="仿宋"/>
          <w:sz w:val="24"/>
          <w:szCs w:val="24"/>
        </w:rPr>
      </w:pPr>
      <w:r>
        <w:rPr>
          <w:rFonts w:hint="eastAsia" w:ascii="仿宋_GB2312" w:hAnsi="仿宋" w:eastAsia="仿宋_GB2312" w:cs="仿宋"/>
          <w:sz w:val="24"/>
          <w:szCs w:val="24"/>
        </w:rPr>
        <w:t>经2022年10月25日市政府党组会议研究，决定任命：</w:t>
      </w:r>
    </w:p>
    <w:p>
      <w:pPr>
        <w:pageBreakBefore w:val="0"/>
        <w:widowControl w:val="0"/>
        <w:wordWrap/>
        <w:overflowPunct/>
        <w:topLinePunct w:val="0"/>
        <w:bidi w:val="0"/>
        <w:snapToGrid w:val="0"/>
        <w:spacing w:line="500" w:lineRule="exact"/>
        <w:ind w:firstLine="480" w:firstLineChars="200"/>
        <w:rPr>
          <w:rFonts w:hint="eastAsia" w:ascii="仿宋_GB2312" w:hAnsi="仿宋" w:eastAsia="仿宋_GB2312" w:cs="仿宋"/>
          <w:sz w:val="24"/>
          <w:szCs w:val="24"/>
        </w:rPr>
        <w:sectPr>
          <w:type w:val="continuous"/>
          <w:pgSz w:w="12240" w:h="16498"/>
          <w:pgMar w:top="1145" w:right="1389" w:bottom="1134" w:left="1389" w:header="1043" w:footer="992" w:gutter="0"/>
          <w:pgNumType w:fmt="decimal"/>
          <w:cols w:space="425" w:num="1"/>
          <w:rtlGutter w:val="0"/>
          <w:docGrid w:type="lines" w:linePitch="312" w:charSpace="0"/>
        </w:sectPr>
      </w:pPr>
    </w:p>
    <w:p>
      <w:pPr>
        <w:pageBreakBefore w:val="0"/>
        <w:widowControl w:val="0"/>
        <w:wordWrap/>
        <w:overflowPunct/>
        <w:topLinePunct w:val="0"/>
        <w:bidi w:val="0"/>
        <w:snapToGrid w:val="0"/>
        <w:spacing w:line="500" w:lineRule="exact"/>
        <w:ind w:firstLine="480" w:firstLineChars="200"/>
        <w:rPr>
          <w:rFonts w:hint="eastAsia" w:ascii="仿宋_GB2312" w:hAnsi="仿宋" w:eastAsia="仿宋_GB2312" w:cs="仿宋"/>
          <w:sz w:val="24"/>
          <w:szCs w:val="24"/>
        </w:rPr>
      </w:pPr>
      <w:r>
        <w:rPr>
          <w:rFonts w:hint="eastAsia" w:ascii="仿宋_GB2312" w:hAnsi="仿宋" w:eastAsia="仿宋_GB2312" w:cs="仿宋"/>
          <w:sz w:val="24"/>
          <w:szCs w:val="24"/>
        </w:rPr>
        <w:t>葛茂华为市乡村振兴发展中心主任（试用期满，经考核合格，同意正式任职，任职时间从2021年8月算起）;</w:t>
      </w:r>
    </w:p>
    <w:p>
      <w:pPr>
        <w:pageBreakBefore w:val="0"/>
        <w:widowControl w:val="0"/>
        <w:wordWrap/>
        <w:overflowPunct/>
        <w:topLinePunct w:val="0"/>
        <w:bidi w:val="0"/>
        <w:snapToGrid w:val="0"/>
        <w:spacing w:line="500" w:lineRule="exact"/>
        <w:ind w:firstLine="480" w:firstLineChars="200"/>
        <w:rPr>
          <w:rFonts w:hint="eastAsia" w:ascii="仿宋_GB2312" w:hAnsi="仿宋" w:eastAsia="仿宋_GB2312" w:cs="仿宋"/>
          <w:sz w:val="24"/>
          <w:szCs w:val="24"/>
        </w:rPr>
      </w:pPr>
      <w:r>
        <w:rPr>
          <w:rFonts w:hint="eastAsia" w:ascii="仿宋_GB2312" w:hAnsi="仿宋" w:eastAsia="仿宋_GB2312" w:cs="仿宋"/>
          <w:sz w:val="24"/>
          <w:szCs w:val="24"/>
        </w:rPr>
        <w:t>李长寿为市工业和信息化服务中心（原平市中小企业服务中心）主任（试用期满，经考核合格，同意正式任职，任职时间从2021年8月算起）;</w:t>
      </w:r>
    </w:p>
    <w:p>
      <w:pPr>
        <w:pageBreakBefore w:val="0"/>
        <w:widowControl w:val="0"/>
        <w:wordWrap/>
        <w:overflowPunct/>
        <w:topLinePunct w:val="0"/>
        <w:bidi w:val="0"/>
        <w:snapToGrid w:val="0"/>
        <w:spacing w:line="500" w:lineRule="exact"/>
        <w:ind w:firstLine="480" w:firstLineChars="200"/>
        <w:rPr>
          <w:rFonts w:hint="eastAsia" w:ascii="仿宋_GB2312" w:hAnsi="仿宋" w:eastAsia="仿宋_GB2312" w:cs="仿宋"/>
          <w:sz w:val="24"/>
          <w:szCs w:val="24"/>
        </w:rPr>
      </w:pPr>
      <w:r>
        <w:rPr>
          <w:rFonts w:hint="eastAsia" w:ascii="仿宋_GB2312" w:hAnsi="仿宋" w:eastAsia="仿宋_GB2312" w:cs="仿宋"/>
          <w:sz w:val="24"/>
          <w:szCs w:val="24"/>
        </w:rPr>
        <w:t>赵树勋为市工业和信息化服务中心（原平市中小企业服务中心）副主任（试用期满，经考核合格，同意正式任职，任职时间从2021年8月算起）;</w:t>
      </w:r>
    </w:p>
    <w:p>
      <w:pPr>
        <w:pageBreakBefore w:val="0"/>
        <w:widowControl w:val="0"/>
        <w:wordWrap/>
        <w:overflowPunct/>
        <w:topLinePunct w:val="0"/>
        <w:bidi w:val="0"/>
        <w:snapToGrid w:val="0"/>
        <w:spacing w:line="500" w:lineRule="exact"/>
        <w:ind w:firstLine="480" w:firstLineChars="200"/>
        <w:rPr>
          <w:rFonts w:hint="eastAsia" w:ascii="仿宋_GB2312" w:hAnsi="仿宋" w:eastAsia="仿宋_GB2312" w:cs="仿宋"/>
          <w:sz w:val="24"/>
          <w:szCs w:val="24"/>
        </w:rPr>
      </w:pPr>
      <w:r>
        <w:rPr>
          <w:rFonts w:hint="eastAsia" w:ascii="仿宋_GB2312" w:hAnsi="仿宋" w:eastAsia="仿宋_GB2312" w:cs="仿宋"/>
          <w:sz w:val="24"/>
          <w:szCs w:val="24"/>
        </w:rPr>
        <w:t>褚全礼为市农业产业发展中心主任（试用期满，经考核合格，同意正式任职，任职时间从2021年8月算起）;</w:t>
      </w:r>
    </w:p>
    <w:p>
      <w:pPr>
        <w:pageBreakBefore w:val="0"/>
        <w:widowControl w:val="0"/>
        <w:wordWrap/>
        <w:overflowPunct/>
        <w:topLinePunct w:val="0"/>
        <w:bidi w:val="0"/>
        <w:snapToGrid w:val="0"/>
        <w:spacing w:line="500" w:lineRule="exact"/>
        <w:ind w:firstLine="480" w:firstLineChars="200"/>
        <w:rPr>
          <w:rFonts w:hint="eastAsia" w:ascii="仿宋_GB2312" w:hAnsi="仿宋" w:eastAsia="仿宋_GB2312" w:cs="仿宋"/>
          <w:sz w:val="24"/>
          <w:szCs w:val="24"/>
        </w:rPr>
      </w:pPr>
      <w:r>
        <w:rPr>
          <w:rFonts w:hint="eastAsia" w:ascii="仿宋_GB2312" w:hAnsi="仿宋" w:eastAsia="仿宋_GB2312" w:cs="仿宋"/>
          <w:sz w:val="24"/>
          <w:szCs w:val="24"/>
        </w:rPr>
        <w:t>刘永平为市应急保障中心（原平市防震减灾中心、原平市应急救援队）主任（试用期满，经考核合格，同意正式任职，任职时间从2021年8月算起）;</w:t>
      </w:r>
    </w:p>
    <w:p>
      <w:pPr>
        <w:pageBreakBefore w:val="0"/>
        <w:widowControl w:val="0"/>
        <w:wordWrap/>
        <w:overflowPunct/>
        <w:topLinePunct w:val="0"/>
        <w:bidi w:val="0"/>
        <w:snapToGrid w:val="0"/>
        <w:spacing w:line="500" w:lineRule="exact"/>
        <w:ind w:firstLine="480" w:firstLineChars="200"/>
        <w:rPr>
          <w:rFonts w:hint="eastAsia" w:ascii="仿宋_GB2312" w:hAnsi="仿宋" w:eastAsia="仿宋_GB2312" w:cs="仿宋"/>
          <w:sz w:val="24"/>
          <w:szCs w:val="24"/>
        </w:rPr>
      </w:pPr>
      <w:r>
        <w:rPr>
          <w:rFonts w:hint="eastAsia" w:ascii="仿宋_GB2312" w:hAnsi="仿宋" w:eastAsia="仿宋_GB2312" w:cs="仿宋"/>
          <w:sz w:val="24"/>
          <w:szCs w:val="24"/>
        </w:rPr>
        <w:t>王虹飞为市应急保障中心（原平市防震减灾中心、原平市应急救援队）副主任（试用期满，经考核合格，同意正式任职，任职时间从2021年8月算起）;</w:t>
      </w:r>
    </w:p>
    <w:p>
      <w:pPr>
        <w:pageBreakBefore w:val="0"/>
        <w:widowControl w:val="0"/>
        <w:wordWrap/>
        <w:overflowPunct/>
        <w:topLinePunct w:val="0"/>
        <w:bidi w:val="0"/>
        <w:snapToGrid w:val="0"/>
        <w:spacing w:line="500" w:lineRule="exact"/>
        <w:ind w:firstLine="480" w:firstLineChars="200"/>
        <w:rPr>
          <w:rFonts w:hint="eastAsia" w:ascii="仿宋_GB2312" w:hAnsi="仿宋" w:eastAsia="仿宋_GB2312" w:cs="仿宋"/>
          <w:sz w:val="24"/>
          <w:szCs w:val="24"/>
        </w:rPr>
      </w:pPr>
      <w:r>
        <w:rPr>
          <w:rFonts w:hint="eastAsia" w:ascii="仿宋_GB2312" w:hAnsi="仿宋" w:eastAsia="仿宋_GB2312" w:cs="仿宋"/>
          <w:sz w:val="24"/>
          <w:szCs w:val="24"/>
        </w:rPr>
        <w:t>黄爱君为市应急保障中心（原平市防震减灾中心、原平市应急救援队）副主任（试用期满，经考核合格，同意正式任职，任职时间从2021年8月算起）;</w:t>
      </w:r>
    </w:p>
    <w:p>
      <w:pPr>
        <w:pageBreakBefore w:val="0"/>
        <w:widowControl w:val="0"/>
        <w:wordWrap/>
        <w:overflowPunct/>
        <w:topLinePunct w:val="0"/>
        <w:bidi w:val="0"/>
        <w:snapToGrid w:val="0"/>
        <w:spacing w:line="500" w:lineRule="exact"/>
        <w:ind w:firstLine="480" w:firstLineChars="200"/>
        <w:rPr>
          <w:rFonts w:hint="eastAsia" w:ascii="仿宋_GB2312" w:hAnsi="仿宋" w:eastAsia="仿宋_GB2312" w:cs="仿宋"/>
          <w:sz w:val="24"/>
          <w:szCs w:val="24"/>
        </w:rPr>
      </w:pPr>
      <w:r>
        <w:rPr>
          <w:rFonts w:hint="eastAsia" w:ascii="仿宋_GB2312" w:hAnsi="仿宋" w:eastAsia="仿宋_GB2312" w:cs="仿宋"/>
          <w:sz w:val="24"/>
          <w:szCs w:val="24"/>
        </w:rPr>
        <w:t>杨春文为市应急管理综合行政执法队（原平市煤矿安全生产监管检查组）副队长（试用期满，经考核合格，同意正式任职，任职时间从2021年8月算起）;</w:t>
      </w:r>
    </w:p>
    <w:p>
      <w:pPr>
        <w:pageBreakBefore w:val="0"/>
        <w:widowControl w:val="0"/>
        <w:wordWrap/>
        <w:overflowPunct/>
        <w:topLinePunct w:val="0"/>
        <w:bidi w:val="0"/>
        <w:snapToGrid w:val="0"/>
        <w:spacing w:line="500" w:lineRule="exact"/>
        <w:ind w:firstLine="480" w:firstLineChars="200"/>
        <w:rPr>
          <w:rFonts w:hint="eastAsia" w:ascii="仿宋_GB2312" w:hAnsi="仿宋" w:eastAsia="仿宋_GB2312" w:cs="仿宋"/>
          <w:sz w:val="24"/>
          <w:szCs w:val="24"/>
        </w:rPr>
      </w:pPr>
      <w:r>
        <w:rPr>
          <w:rFonts w:hint="eastAsia" w:ascii="仿宋_GB2312" w:hAnsi="仿宋" w:eastAsia="仿宋_GB2312" w:cs="仿宋"/>
          <w:sz w:val="24"/>
          <w:szCs w:val="24"/>
        </w:rPr>
        <w:t>王武伟为市医疗保险服务中心主任（试用期满，经考核合格，同意正式任职，任职时间从2021年8月算起）;</w:t>
      </w:r>
    </w:p>
    <w:p>
      <w:pPr>
        <w:pageBreakBefore w:val="0"/>
        <w:widowControl w:val="0"/>
        <w:wordWrap/>
        <w:overflowPunct/>
        <w:topLinePunct w:val="0"/>
        <w:bidi w:val="0"/>
        <w:snapToGrid w:val="0"/>
        <w:spacing w:line="500" w:lineRule="exact"/>
        <w:ind w:firstLine="480" w:firstLineChars="200"/>
        <w:rPr>
          <w:rFonts w:hint="eastAsia" w:ascii="仿宋_GB2312" w:hAnsi="仿宋" w:eastAsia="仿宋_GB2312" w:cs="仿宋"/>
          <w:sz w:val="24"/>
          <w:szCs w:val="24"/>
        </w:rPr>
      </w:pPr>
      <w:r>
        <w:rPr>
          <w:rFonts w:hint="eastAsia" w:ascii="仿宋_GB2312" w:hAnsi="仿宋" w:eastAsia="仿宋_GB2312" w:cs="仿宋"/>
          <w:sz w:val="24"/>
          <w:szCs w:val="24"/>
        </w:rPr>
        <w:t>李浩田为市卫生健康和体育综合服务中心（原平市爱国卫生服务中心）主任（试用期满，经考核合格，同意正式任职，任职时间从2021年9月算起）;</w:t>
      </w:r>
    </w:p>
    <w:p>
      <w:pPr>
        <w:pageBreakBefore w:val="0"/>
        <w:widowControl w:val="0"/>
        <w:wordWrap/>
        <w:overflowPunct/>
        <w:topLinePunct w:val="0"/>
        <w:bidi w:val="0"/>
        <w:snapToGrid w:val="0"/>
        <w:spacing w:line="500" w:lineRule="exact"/>
        <w:ind w:firstLine="480" w:firstLineChars="200"/>
        <w:rPr>
          <w:rFonts w:hint="eastAsia" w:ascii="仿宋_GB2312" w:hAnsi="仿宋" w:eastAsia="仿宋_GB2312" w:cs="仿宋"/>
          <w:sz w:val="24"/>
          <w:szCs w:val="24"/>
        </w:rPr>
      </w:pPr>
      <w:r>
        <w:rPr>
          <w:rFonts w:hint="eastAsia" w:ascii="仿宋_GB2312" w:hAnsi="仿宋" w:eastAsia="仿宋_GB2312" w:cs="仿宋"/>
          <w:sz w:val="24"/>
          <w:szCs w:val="24"/>
        </w:rPr>
        <w:t>张国平为市人力资源和社会保障局副局长（试用期满，经考核合格，同意正式任职，任职时间从2021年9月算起）;</w:t>
      </w:r>
    </w:p>
    <w:p>
      <w:pPr>
        <w:pageBreakBefore w:val="0"/>
        <w:widowControl w:val="0"/>
        <w:wordWrap/>
        <w:overflowPunct/>
        <w:topLinePunct w:val="0"/>
        <w:bidi w:val="0"/>
        <w:snapToGrid w:val="0"/>
        <w:spacing w:line="500" w:lineRule="exact"/>
        <w:ind w:firstLine="480" w:firstLineChars="200"/>
        <w:rPr>
          <w:rFonts w:hint="eastAsia" w:ascii="仿宋_GB2312" w:hAnsi="仿宋" w:eastAsia="仿宋_GB2312" w:cs="仿宋"/>
          <w:sz w:val="24"/>
          <w:szCs w:val="24"/>
        </w:rPr>
      </w:pPr>
      <w:r>
        <w:rPr>
          <w:rFonts w:hint="eastAsia" w:ascii="仿宋_GB2312" w:hAnsi="仿宋" w:eastAsia="仿宋_GB2312" w:cs="仿宋"/>
          <w:sz w:val="24"/>
          <w:szCs w:val="24"/>
        </w:rPr>
        <w:t>陈虎旺为市审计局副局长（试用期满，经考核合格，同意正式任职，任职时间从2021年11月算起）;</w:t>
      </w:r>
    </w:p>
    <w:p>
      <w:pPr>
        <w:pageBreakBefore w:val="0"/>
        <w:widowControl w:val="0"/>
        <w:wordWrap/>
        <w:overflowPunct/>
        <w:topLinePunct w:val="0"/>
        <w:bidi w:val="0"/>
        <w:snapToGrid w:val="0"/>
        <w:spacing w:line="500" w:lineRule="exact"/>
        <w:ind w:firstLine="480" w:firstLineChars="200"/>
        <w:rPr>
          <w:rFonts w:hint="eastAsia" w:ascii="仿宋_GB2312" w:hAnsi="仿宋" w:eastAsia="仿宋_GB2312" w:cs="仿宋"/>
          <w:sz w:val="24"/>
          <w:szCs w:val="24"/>
        </w:rPr>
      </w:pPr>
      <w:r>
        <w:rPr>
          <w:rFonts w:hint="eastAsia" w:ascii="仿宋_GB2312" w:hAnsi="仿宋" w:eastAsia="仿宋_GB2312" w:cs="仿宋"/>
          <w:sz w:val="24"/>
          <w:szCs w:val="24"/>
        </w:rPr>
        <w:t>韩存伟为市公安局交通警察大队副大队长（试用期满，经考核合格，同意正式任职，任职时间从2021年11月算起）。</w:t>
      </w:r>
    </w:p>
    <w:p>
      <w:pPr>
        <w:pageBreakBefore w:val="0"/>
        <w:widowControl w:val="0"/>
        <w:wordWrap/>
        <w:overflowPunct/>
        <w:topLinePunct w:val="0"/>
        <w:bidi w:val="0"/>
        <w:snapToGrid w:val="0"/>
        <w:spacing w:line="500" w:lineRule="exact"/>
        <w:ind w:firstLine="480" w:firstLineChars="200"/>
        <w:rPr>
          <w:rFonts w:hint="eastAsia" w:ascii="仿宋_GB2312" w:hAnsi="仿宋" w:eastAsia="仿宋_GB2312" w:cs="仿宋"/>
          <w:sz w:val="24"/>
          <w:szCs w:val="24"/>
        </w:rPr>
      </w:pPr>
    </w:p>
    <w:p>
      <w:pPr>
        <w:pageBreakBefore w:val="0"/>
        <w:widowControl w:val="0"/>
        <w:wordWrap/>
        <w:overflowPunct/>
        <w:topLinePunct w:val="0"/>
        <w:bidi w:val="0"/>
        <w:snapToGrid w:val="0"/>
        <w:spacing w:line="500" w:lineRule="exact"/>
        <w:ind w:firstLine="480" w:firstLineChars="200"/>
        <w:rPr>
          <w:rFonts w:hint="eastAsia" w:ascii="仿宋_GB2312" w:hAnsi="仿宋" w:eastAsia="仿宋_GB2312" w:cs="仿宋"/>
          <w:sz w:val="24"/>
          <w:szCs w:val="24"/>
        </w:rPr>
      </w:pPr>
    </w:p>
    <w:p>
      <w:pPr>
        <w:pageBreakBefore w:val="0"/>
        <w:widowControl w:val="0"/>
        <w:wordWrap/>
        <w:overflowPunct/>
        <w:topLinePunct w:val="0"/>
        <w:bidi w:val="0"/>
        <w:snapToGrid w:val="0"/>
        <w:spacing w:line="500" w:lineRule="exact"/>
        <w:ind w:leftChars="2100" w:firstLine="480" w:firstLineChars="200"/>
        <w:jc w:val="center"/>
        <w:rPr>
          <w:rFonts w:hint="eastAsia" w:ascii="仿宋_GB2312" w:hAnsi="仿宋" w:eastAsia="仿宋_GB2312" w:cs="仿宋"/>
          <w:sz w:val="24"/>
          <w:szCs w:val="24"/>
        </w:rPr>
      </w:pPr>
      <w:r>
        <w:rPr>
          <w:rFonts w:hint="eastAsia" w:ascii="仿宋_GB2312" w:hAnsi="仿宋" w:eastAsia="仿宋_GB2312" w:cs="仿宋"/>
          <w:sz w:val="24"/>
          <w:szCs w:val="24"/>
        </w:rPr>
        <w:t>原平市人民政府</w:t>
      </w:r>
    </w:p>
    <w:p>
      <w:pPr>
        <w:pageBreakBefore w:val="0"/>
        <w:widowControl w:val="0"/>
        <w:wordWrap/>
        <w:overflowPunct/>
        <w:topLinePunct w:val="0"/>
        <w:bidi w:val="0"/>
        <w:snapToGrid w:val="0"/>
        <w:spacing w:line="500" w:lineRule="exact"/>
        <w:ind w:leftChars="2100" w:firstLine="480" w:firstLineChars="200"/>
        <w:jc w:val="center"/>
        <w:rPr>
          <w:rFonts w:hint="eastAsia" w:ascii="仿宋_GB2312" w:hAnsi="仿宋" w:eastAsia="仿宋_GB2312" w:cs="仿宋"/>
          <w:sz w:val="24"/>
          <w:szCs w:val="24"/>
        </w:rPr>
      </w:pPr>
      <w:r>
        <w:rPr>
          <w:rFonts w:hint="eastAsia" w:ascii="仿宋_GB2312" w:hAnsi="仿宋" w:eastAsia="仿宋_GB2312" w:cs="仿宋"/>
          <w:sz w:val="24"/>
          <w:szCs w:val="24"/>
        </w:rPr>
        <w:t>2022年10月25日</w:t>
      </w:r>
    </w:p>
    <w:p>
      <w:pPr>
        <w:pageBreakBefore w:val="0"/>
        <w:widowControl w:val="0"/>
        <w:wordWrap/>
        <w:overflowPunct/>
        <w:topLinePunct w:val="0"/>
        <w:bidi w:val="0"/>
        <w:snapToGrid w:val="0"/>
        <w:spacing w:line="500" w:lineRule="exact"/>
        <w:ind w:firstLine="480" w:firstLineChars="200"/>
        <w:rPr>
          <w:rFonts w:hint="eastAsia" w:ascii="仿宋_GB2312" w:hAnsi="仿宋" w:eastAsia="仿宋_GB2312" w:cs="仿宋"/>
          <w:sz w:val="24"/>
          <w:szCs w:val="24"/>
        </w:rPr>
        <w:sectPr>
          <w:type w:val="continuous"/>
          <w:pgSz w:w="12240" w:h="16498"/>
          <w:pgMar w:top="1145" w:right="1389" w:bottom="1134" w:left="1389" w:header="1043" w:footer="992" w:gutter="0"/>
          <w:pgNumType w:fmt="decimal"/>
          <w:cols w:space="425" w:num="1"/>
          <w:rtlGutter w:val="0"/>
          <w:docGrid w:type="lines" w:linePitch="312" w:charSpace="0"/>
        </w:sectPr>
      </w:pPr>
    </w:p>
    <w:p>
      <w:pPr>
        <w:pStyle w:val="2"/>
        <w:bidi w:val="0"/>
        <w:rPr>
          <w:rFonts w:hint="eastAsia"/>
        </w:rPr>
      </w:pPr>
    </w:p>
    <w:p>
      <w:pPr>
        <w:rPr>
          <w:rFonts w:hint="eastAsia"/>
        </w:rPr>
      </w:pPr>
    </w:p>
    <w:p>
      <w:pPr>
        <w:pStyle w:val="2"/>
        <w:bidi w:val="0"/>
        <w:rPr>
          <w:rFonts w:hint="eastAsia"/>
        </w:rPr>
      </w:pPr>
      <w:bookmarkStart w:id="176" w:name="_Toc13031"/>
      <w:bookmarkStart w:id="177" w:name="_Toc15750"/>
      <w:r>
        <w:rPr>
          <w:rFonts w:hint="eastAsia"/>
        </w:rPr>
        <w:t>原平市人民政府</w:t>
      </w:r>
      <w:bookmarkEnd w:id="176"/>
      <w:bookmarkEnd w:id="177"/>
    </w:p>
    <w:p>
      <w:pPr>
        <w:pStyle w:val="2"/>
        <w:bidi w:val="0"/>
        <w:rPr>
          <w:rFonts w:hint="eastAsia"/>
        </w:rPr>
      </w:pPr>
      <w:bookmarkStart w:id="178" w:name="_Toc21594"/>
      <w:bookmarkStart w:id="179" w:name="_Toc5357"/>
      <w:r>
        <w:rPr>
          <w:rFonts w:hint="eastAsia"/>
        </w:rPr>
        <w:t>关于祝孙波等任免职务的通知</w:t>
      </w:r>
      <w:bookmarkEnd w:id="178"/>
      <w:bookmarkEnd w:id="179"/>
    </w:p>
    <w:p>
      <w:pPr>
        <w:pageBreakBefore w:val="0"/>
        <w:widowControl w:val="0"/>
        <w:wordWrap/>
        <w:overflowPunct/>
        <w:topLinePunct w:val="0"/>
        <w:bidi w:val="0"/>
        <w:snapToGrid w:val="0"/>
        <w:spacing w:line="500" w:lineRule="exact"/>
        <w:ind w:left="0" w:leftChars="0" w:firstLine="0" w:firstLineChars="0"/>
        <w:rPr>
          <w:rFonts w:hint="eastAsia" w:ascii="仿宋_GB2312" w:hAnsi="仿宋" w:eastAsia="仿宋_GB2312" w:cs="仿宋"/>
          <w:sz w:val="24"/>
          <w:szCs w:val="24"/>
        </w:rPr>
      </w:pPr>
    </w:p>
    <w:p>
      <w:pPr>
        <w:pStyle w:val="3"/>
        <w:bidi w:val="0"/>
        <w:rPr>
          <w:rFonts w:hint="eastAsia"/>
        </w:rPr>
      </w:pPr>
      <w:bookmarkStart w:id="180" w:name="_Toc12510"/>
      <w:r>
        <w:rPr>
          <w:rFonts w:hint="eastAsia"/>
        </w:rPr>
        <w:t>原政任〔2022〕22号</w:t>
      </w:r>
      <w:bookmarkEnd w:id="180"/>
    </w:p>
    <w:p>
      <w:pPr>
        <w:pageBreakBefore w:val="0"/>
        <w:widowControl w:val="0"/>
        <w:wordWrap/>
        <w:overflowPunct/>
        <w:topLinePunct w:val="0"/>
        <w:bidi w:val="0"/>
        <w:snapToGrid w:val="0"/>
        <w:spacing w:line="500" w:lineRule="exact"/>
        <w:ind w:left="0" w:leftChars="0" w:firstLine="0" w:firstLineChars="0"/>
        <w:rPr>
          <w:rFonts w:hint="eastAsia" w:ascii="仿宋_GB2312" w:hAnsi="仿宋" w:eastAsia="仿宋_GB2312" w:cs="仿宋"/>
          <w:sz w:val="24"/>
          <w:szCs w:val="24"/>
        </w:rPr>
      </w:pPr>
      <w:r>
        <w:rPr>
          <w:rFonts w:hint="eastAsia" w:ascii="仿宋_GB2312" w:hAnsi="仿宋" w:eastAsia="仿宋_GB2312" w:cs="仿宋"/>
          <w:sz w:val="24"/>
          <w:szCs w:val="24"/>
        </w:rPr>
        <w:t>各乡（镇）人民政府，各有关单位：</w:t>
      </w:r>
    </w:p>
    <w:p>
      <w:pPr>
        <w:pageBreakBefore w:val="0"/>
        <w:widowControl w:val="0"/>
        <w:wordWrap/>
        <w:overflowPunct/>
        <w:topLinePunct w:val="0"/>
        <w:bidi w:val="0"/>
        <w:snapToGrid w:val="0"/>
        <w:spacing w:line="500" w:lineRule="exact"/>
        <w:ind w:firstLine="480" w:firstLineChars="200"/>
        <w:rPr>
          <w:rFonts w:hint="eastAsia" w:ascii="仿宋_GB2312" w:hAnsi="仿宋" w:eastAsia="仿宋_GB2312" w:cs="仿宋"/>
          <w:sz w:val="24"/>
          <w:szCs w:val="24"/>
        </w:rPr>
      </w:pPr>
      <w:r>
        <w:rPr>
          <w:rFonts w:hint="eastAsia" w:ascii="仿宋_GB2312" w:hAnsi="仿宋" w:eastAsia="仿宋_GB2312" w:cs="仿宋"/>
          <w:sz w:val="24"/>
          <w:szCs w:val="24"/>
        </w:rPr>
        <w:t>经2022年10月25日市政府党组会议研究，决定任命：</w:t>
      </w:r>
    </w:p>
    <w:p>
      <w:pPr>
        <w:pageBreakBefore w:val="0"/>
        <w:widowControl w:val="0"/>
        <w:wordWrap/>
        <w:overflowPunct/>
        <w:topLinePunct w:val="0"/>
        <w:bidi w:val="0"/>
        <w:snapToGrid w:val="0"/>
        <w:spacing w:line="500" w:lineRule="exact"/>
        <w:ind w:firstLine="480" w:firstLineChars="200"/>
        <w:rPr>
          <w:rFonts w:hint="eastAsia" w:ascii="仿宋_GB2312" w:hAnsi="仿宋" w:eastAsia="仿宋_GB2312" w:cs="仿宋"/>
          <w:sz w:val="24"/>
          <w:szCs w:val="24"/>
        </w:rPr>
      </w:pPr>
      <w:r>
        <w:rPr>
          <w:rFonts w:hint="eastAsia" w:ascii="仿宋_GB2312" w:hAnsi="仿宋" w:eastAsia="仿宋_GB2312" w:cs="仿宋"/>
          <w:sz w:val="24"/>
          <w:szCs w:val="24"/>
        </w:rPr>
        <w:t>祝孙波为市退役军人事务局副局长（兼）。</w:t>
      </w:r>
    </w:p>
    <w:p>
      <w:pPr>
        <w:pageBreakBefore w:val="0"/>
        <w:widowControl w:val="0"/>
        <w:wordWrap/>
        <w:overflowPunct/>
        <w:topLinePunct w:val="0"/>
        <w:bidi w:val="0"/>
        <w:snapToGrid w:val="0"/>
        <w:spacing w:line="500" w:lineRule="exact"/>
        <w:ind w:firstLine="480" w:firstLineChars="200"/>
        <w:rPr>
          <w:rFonts w:hint="eastAsia" w:ascii="仿宋_GB2312" w:hAnsi="仿宋" w:eastAsia="仿宋_GB2312" w:cs="仿宋"/>
          <w:sz w:val="24"/>
          <w:szCs w:val="24"/>
        </w:rPr>
      </w:pPr>
      <w:r>
        <w:rPr>
          <w:rFonts w:hint="eastAsia" w:ascii="仿宋_GB2312" w:hAnsi="仿宋" w:eastAsia="仿宋_GB2312" w:cs="仿宋"/>
          <w:sz w:val="24"/>
          <w:szCs w:val="24"/>
        </w:rPr>
        <w:t>决定免去：</w:t>
      </w:r>
    </w:p>
    <w:p>
      <w:pPr>
        <w:pageBreakBefore w:val="0"/>
        <w:widowControl w:val="0"/>
        <w:wordWrap/>
        <w:overflowPunct/>
        <w:topLinePunct w:val="0"/>
        <w:bidi w:val="0"/>
        <w:snapToGrid w:val="0"/>
        <w:spacing w:line="500" w:lineRule="exact"/>
        <w:ind w:firstLine="480" w:firstLineChars="200"/>
        <w:rPr>
          <w:rFonts w:hint="eastAsia" w:ascii="仿宋_GB2312" w:hAnsi="仿宋" w:eastAsia="仿宋_GB2312" w:cs="仿宋"/>
          <w:sz w:val="24"/>
          <w:szCs w:val="24"/>
        </w:rPr>
      </w:pPr>
      <w:r>
        <w:rPr>
          <w:rFonts w:hint="eastAsia" w:ascii="仿宋_GB2312" w:hAnsi="仿宋" w:eastAsia="仿宋_GB2312" w:cs="仿宋"/>
          <w:sz w:val="24"/>
          <w:szCs w:val="24"/>
        </w:rPr>
        <w:t>朱殿君的市公安局轩岗派出所所长职务。</w:t>
      </w:r>
    </w:p>
    <w:p>
      <w:pPr>
        <w:pageBreakBefore w:val="0"/>
        <w:widowControl w:val="0"/>
        <w:wordWrap/>
        <w:overflowPunct/>
        <w:topLinePunct w:val="0"/>
        <w:bidi w:val="0"/>
        <w:snapToGrid w:val="0"/>
        <w:spacing w:line="500" w:lineRule="exact"/>
        <w:ind w:leftChars="2200" w:firstLine="480" w:firstLineChars="200"/>
        <w:jc w:val="center"/>
        <w:rPr>
          <w:rFonts w:hint="eastAsia" w:ascii="仿宋_GB2312" w:hAnsi="仿宋" w:eastAsia="仿宋_GB2312" w:cs="仿宋"/>
          <w:sz w:val="24"/>
          <w:szCs w:val="24"/>
        </w:rPr>
      </w:pPr>
    </w:p>
    <w:p>
      <w:pPr>
        <w:pageBreakBefore w:val="0"/>
        <w:widowControl w:val="0"/>
        <w:wordWrap/>
        <w:overflowPunct/>
        <w:topLinePunct w:val="0"/>
        <w:bidi w:val="0"/>
        <w:snapToGrid w:val="0"/>
        <w:spacing w:line="500" w:lineRule="exact"/>
        <w:ind w:leftChars="2200" w:firstLine="480" w:firstLineChars="200"/>
        <w:jc w:val="center"/>
        <w:rPr>
          <w:rFonts w:hint="eastAsia" w:ascii="仿宋_GB2312" w:hAnsi="仿宋" w:eastAsia="仿宋_GB2312" w:cs="仿宋"/>
          <w:sz w:val="24"/>
          <w:szCs w:val="24"/>
        </w:rPr>
      </w:pPr>
    </w:p>
    <w:p>
      <w:pPr>
        <w:pageBreakBefore w:val="0"/>
        <w:widowControl w:val="0"/>
        <w:wordWrap/>
        <w:overflowPunct/>
        <w:topLinePunct w:val="0"/>
        <w:bidi w:val="0"/>
        <w:snapToGrid w:val="0"/>
        <w:spacing w:line="500" w:lineRule="exact"/>
        <w:ind w:leftChars="2100" w:firstLine="480" w:firstLineChars="200"/>
        <w:jc w:val="center"/>
        <w:rPr>
          <w:rFonts w:hint="eastAsia" w:ascii="仿宋_GB2312" w:hAnsi="仿宋" w:eastAsia="仿宋_GB2312" w:cs="仿宋"/>
          <w:sz w:val="24"/>
          <w:szCs w:val="24"/>
        </w:rPr>
      </w:pPr>
      <w:r>
        <w:rPr>
          <w:rFonts w:hint="eastAsia" w:ascii="仿宋_GB2312" w:hAnsi="仿宋" w:eastAsia="仿宋_GB2312" w:cs="仿宋"/>
          <w:sz w:val="24"/>
          <w:szCs w:val="24"/>
        </w:rPr>
        <w:t>原平市人民政府</w:t>
      </w:r>
    </w:p>
    <w:p>
      <w:pPr>
        <w:pageBreakBefore w:val="0"/>
        <w:widowControl w:val="0"/>
        <w:wordWrap/>
        <w:overflowPunct/>
        <w:topLinePunct w:val="0"/>
        <w:bidi w:val="0"/>
        <w:snapToGrid w:val="0"/>
        <w:spacing w:line="500" w:lineRule="exact"/>
        <w:ind w:leftChars="2100" w:firstLine="480" w:firstLineChars="200"/>
        <w:jc w:val="center"/>
        <w:rPr>
          <w:rFonts w:hint="eastAsia" w:ascii="仿宋_GB2312" w:hAnsi="仿宋" w:eastAsia="仿宋_GB2312" w:cs="仿宋"/>
          <w:sz w:val="24"/>
          <w:szCs w:val="24"/>
          <w:lang w:val="en-US" w:eastAsia="zh-CN"/>
        </w:rPr>
      </w:pPr>
      <w:r>
        <w:rPr>
          <w:rFonts w:hint="eastAsia" w:ascii="仿宋_GB2312" w:hAnsi="仿宋" w:eastAsia="仿宋_GB2312" w:cs="仿宋"/>
          <w:sz w:val="24"/>
          <w:szCs w:val="24"/>
        </w:rPr>
        <w:t>2022年10月25日</w:t>
      </w:r>
      <w:bookmarkStart w:id="181" w:name="_GoBack"/>
      <w:bookmarkEnd w:id="181"/>
    </w:p>
    <w:sectPr>
      <w:type w:val="continuous"/>
      <w:pgSz w:w="12240" w:h="16498"/>
      <w:pgMar w:top="1145" w:right="1389" w:bottom="1134" w:left="1389" w:header="1043" w:footer="992" w:gutter="0"/>
      <w:pgNumType w:fmt="decimal"/>
      <w:cols w:space="425" w:num="1"/>
      <w:rtlGutter w:val="0"/>
      <w:docGrid w:type="lines" w:linePitch="312" w:charSpace="0"/>
    </w:sectPr>
  </w:body>
</w:document>
</file>

<file path=word/customizations.xml><?xml version="1.0" encoding="utf-8"?>
<wne:tcg xmlns:r="http://schemas.openxmlformats.org/officeDocument/2006/relationships" xmlns:wne="http://schemas.microsoft.com/office/word/2006/wordml">
  <wne:keymaps>
    <wne:keymap wne:kcmPrimary="0079">
      <wne:acd wne:acdName="acd0"/>
    </wne:keymap>
    <wne:keymap wne:kcmPrimary="007A">
      <wne:acd wne:acdName="acd1"/>
    </wne:keymap>
    <wne:keymap wne:kcmPrimary="0077">
      <wne:acd wne:acdName="acd2"/>
    </wne:keymap>
    <wne:keymap wne:kcmPrimary="0073">
      <wne:acd wne:acdName="acd3"/>
    </wne:keymap>
  </wne:keymaps>
  <wne:acds>
    <wne:acd wne:argValue="AQAAAAMA" wne:acdName="acd0" wne:fciIndexBasedOn="0065"/>
    <wne:acd wne:argValue="AQAAAAQA" wne:acdName="acd1" wne:fciIndexBasedOn="0065"/>
    <wne:acd wne:argValue="AgD+Vkdy" wne:acdName="acd2" wne:fciIndexBasedOn="0065"/>
    <wne:acd wne:argValue="AQAAAAAA" wne:acdName="acd3"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DB1E648F-8C3D-4B6E-A3FA-1B60041B9908}"/>
  </w:font>
  <w:font w:name="黑体">
    <w:panose1 w:val="02010609060101010101"/>
    <w:charset w:val="86"/>
    <w:family w:val="auto"/>
    <w:pitch w:val="default"/>
    <w:sig w:usb0="800002BF" w:usb1="38CF7CFA" w:usb2="00000016" w:usb3="00000000" w:csb0="00040001" w:csb1="00000000"/>
    <w:embedRegular r:id="rId2" w:fontKey="{A3F0A36F-31DD-4EA5-AA42-574049698D32}"/>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AF11DBAC-FE36-48DE-B6FE-3F709D6C2EF3}"/>
  </w:font>
  <w:font w:name="仿宋_GB2312">
    <w:panose1 w:val="02010609030101010101"/>
    <w:charset w:val="86"/>
    <w:family w:val="auto"/>
    <w:pitch w:val="default"/>
    <w:sig w:usb0="00000001" w:usb1="080E0000" w:usb2="00000000" w:usb3="00000000" w:csb0="00040000" w:csb1="00000000"/>
    <w:embedRegular r:id="rId4" w:fontKey="{159A2012-A9B9-49DB-9D2A-4BDC3472FEB4}"/>
  </w:font>
  <w:font w:name="方正大标宋_GBK">
    <w:panose1 w:val="02000000000000000000"/>
    <w:charset w:val="86"/>
    <w:family w:val="auto"/>
    <w:pitch w:val="default"/>
    <w:sig w:usb0="A00002BF" w:usb1="08CF7CFA" w:usb2="00000000" w:usb3="00000000" w:csb0="00040001" w:csb1="00000000"/>
    <w:embedRegular r:id="rId5" w:fontKey="{5F415B28-D868-4C2B-A5EE-1AD2A8BFCFFA}"/>
  </w:font>
  <w:font w:name="方正小标宋_GBK">
    <w:panose1 w:val="02000000000000000000"/>
    <w:charset w:val="86"/>
    <w:family w:val="auto"/>
    <w:pitch w:val="default"/>
    <w:sig w:usb0="A00002BF" w:usb1="38CF7CFA" w:usb2="00082016" w:usb3="00000000" w:csb0="00040001" w:csb1="00000000"/>
    <w:embedRegular r:id="rId6" w:fontKey="{D93AB5D0-79D3-4778-A294-94477FFE0EFF}"/>
  </w:font>
  <w:font w:name="楷体">
    <w:panose1 w:val="02010609060101010101"/>
    <w:charset w:val="86"/>
    <w:family w:val="auto"/>
    <w:pitch w:val="default"/>
    <w:sig w:usb0="800002BF" w:usb1="38CF7CFA" w:usb2="00000016" w:usb3="00000000" w:csb0="00040001" w:csb1="00000000"/>
    <w:embedRegular r:id="rId7" w:fontKey="{1F645EC3-23B5-4A8C-AFFF-8A92A984EBEE}"/>
  </w:font>
  <w:font w:name="AdobeSongStd-Light">
    <w:altName w:val="宋体"/>
    <w:panose1 w:val="00000000000000000000"/>
    <w:charset w:val="86"/>
    <w:family w:val="auto"/>
    <w:pitch w:val="default"/>
    <w:sig w:usb0="00000000" w:usb1="00000000" w:usb2="00000000" w:usb3="00000000" w:csb0="00040000" w:csb1="00000000"/>
  </w:font>
  <w:font w:name="方正粗倩简体">
    <w:panose1 w:val="03000509000000000000"/>
    <w:charset w:val="86"/>
    <w:family w:val="auto"/>
    <w:pitch w:val="default"/>
    <w:sig w:usb0="00000001" w:usb1="080E0000" w:usb2="00000000" w:usb3="00000000" w:csb0="00040000" w:csb1="00000000"/>
    <w:embedRegular r:id="rId8" w:fontKey="{8BEC2911-3FF6-4E17-93EF-54EE58A1798A}"/>
  </w:font>
  <w:font w:name="华文中宋">
    <w:panose1 w:val="02010600040101010101"/>
    <w:charset w:val="86"/>
    <w:family w:val="auto"/>
    <w:pitch w:val="default"/>
    <w:sig w:usb0="00000287" w:usb1="080F0000" w:usb2="00000000" w:usb3="00000000" w:csb0="0004009F" w:csb1="DFD70000"/>
    <w:embedRegular r:id="rId9" w:fontKey="{CBA1B210-090C-41D3-900A-5BFFA79DE2A4}"/>
  </w:font>
  <w:font w:name="方正大标宋简体">
    <w:panose1 w:val="02010601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10" w:fontKey="{6C4AEDB5-6E7E-4114-AD14-0A06825971A3}"/>
  </w:font>
  <w:font w:name="楷体_GB2312">
    <w:panose1 w:val="02010609030101010101"/>
    <w:charset w:val="86"/>
    <w:family w:val="modern"/>
    <w:pitch w:val="default"/>
    <w:sig w:usb0="00000001" w:usb1="080E0000" w:usb2="00000000" w:usb3="00000000" w:csb0="00040000" w:csb1="00000000"/>
    <w:embedRegular r:id="rId11" w:fontKey="{FF70C563-EC29-4D61-A7C1-D85518A93A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rFonts w:hint="default"/>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bidi w:val="0"/>
      <w:rPr>
        <w:rFonts w:hint="default"/>
        <w:lang w:val="en-US" w:eastAsia="zh-C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rFonts w:hint="default"/>
      </w:rPr>
    </w:pPr>
    <w:r>
      <w:rPr>
        <w:sz w:val="18"/>
      </w:rP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-44450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bidi w:val="0"/>
                            <w:rPr>
                              <w:rFonts w:hint="default"/>
                              <w:lang w:val="en-US" w:eastAsia="zh-CN"/>
                            </w:rPr>
                          </w:pPr>
                          <w:r>
                            <w:rPr>
                              <w:rFonts w:hint="default"/>
                              <w:lang w:val="en-US" w:eastAsia="zh-CN"/>
                            </w:rPr>
                            <w:t xml:space="preserve">--- </w:t>
                          </w:r>
                          <w:r>
                            <w:rPr>
                              <w:rFonts w:hint="eastAsia"/>
                              <w:lang w:val="en-US" w:eastAsia="zh-CN"/>
                            </w:rPr>
                            <w:t xml:space="preserve"> </w:t>
                          </w:r>
                          <w:r>
                            <w:rPr>
                              <w:rFonts w:hint="default"/>
                              <w:spacing w:val="0"/>
                              <w:sz w:val="24"/>
                            </w:rPr>
                            <w:fldChar w:fldCharType="begin"/>
                          </w:r>
                          <w:r>
                            <w:rPr>
                              <w:rFonts w:hint="default"/>
                              <w:spacing w:val="0"/>
                              <w:sz w:val="24"/>
                            </w:rPr>
                            <w:instrText xml:space="preserve"> PAGE  \* MERGEFORMAT </w:instrText>
                          </w:r>
                          <w:r>
                            <w:rPr>
                              <w:rFonts w:hint="default"/>
                              <w:spacing w:val="0"/>
                              <w:sz w:val="24"/>
                            </w:rPr>
                            <w:fldChar w:fldCharType="separate"/>
                          </w:r>
                          <w:r>
                            <w:rPr>
                              <w:rFonts w:hint="default"/>
                              <w:spacing w:val="0"/>
                              <w:sz w:val="24"/>
                            </w:rPr>
                            <w:t>1</w:t>
                          </w:r>
                          <w:r>
                            <w:rPr>
                              <w:rFonts w:hint="default"/>
                              <w:spacing w:val="0"/>
                              <w:sz w:val="24"/>
                            </w:rPr>
                            <w:fldChar w:fldCharType="end"/>
                          </w:r>
                          <w:r>
                            <w:rPr>
                              <w:rFonts w:hint="eastAsia"/>
                              <w:lang w:val="en-US" w:eastAsia="zh-CN"/>
                            </w:rPr>
                            <w:t xml:space="preserve"> </w:t>
                          </w:r>
                          <w:r>
                            <w:rPr>
                              <w:rFonts w:hint="default"/>
                              <w:lang w:val="en-US"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3.5pt;height:144pt;width:144pt;mso-position-horizontal:outside;mso-position-horizontal-relative:margin;mso-wrap-style:none;z-index:251667456;mso-width-relative:page;mso-height-relative:page;" filled="f" stroked="f" coordsize="21600,21600" o:gfxdata="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HYrYLTAAAABwEAAA8AAAAAAAAAAQAgAAAAIgAAAGRycy9kb3ducmV2LnhtbFBLAQIU&#10;ABQAAAAIAIdO4kAwiRJeMQIAAGEEAAAOAAAAAAAAAAEAIAAAACIBAABkcnMvZTJvRG9jLnhtbFBL&#10;BQYAAAAABgAGAFkBAADFBQAAAAA=&#10;">
              <v:fill on="f" focussize="0,0"/>
              <v:stroke on="f" weight="0.5pt"/>
              <v:imagedata o:title=""/>
              <o:lock v:ext="edit" aspectratio="f"/>
              <v:textbox inset="0mm,0mm,0mm,0mm" style="mso-fit-shape-to-text:t;">
                <w:txbxContent>
                  <w:p>
                    <w:pPr>
                      <w:pStyle w:val="24"/>
                      <w:bidi w:val="0"/>
                      <w:rPr>
                        <w:rFonts w:hint="default"/>
                        <w:lang w:val="en-US" w:eastAsia="zh-CN"/>
                      </w:rPr>
                    </w:pPr>
                    <w:r>
                      <w:rPr>
                        <w:rFonts w:hint="default"/>
                        <w:lang w:val="en-US" w:eastAsia="zh-CN"/>
                      </w:rPr>
                      <w:t xml:space="preserve">--- </w:t>
                    </w:r>
                    <w:r>
                      <w:rPr>
                        <w:rFonts w:hint="eastAsia"/>
                        <w:lang w:val="en-US" w:eastAsia="zh-CN"/>
                      </w:rPr>
                      <w:t xml:space="preserve"> </w:t>
                    </w:r>
                    <w:r>
                      <w:rPr>
                        <w:rFonts w:hint="default"/>
                        <w:spacing w:val="0"/>
                        <w:sz w:val="24"/>
                      </w:rPr>
                      <w:fldChar w:fldCharType="begin"/>
                    </w:r>
                    <w:r>
                      <w:rPr>
                        <w:rFonts w:hint="default"/>
                        <w:spacing w:val="0"/>
                        <w:sz w:val="24"/>
                      </w:rPr>
                      <w:instrText xml:space="preserve"> PAGE  \* MERGEFORMAT </w:instrText>
                    </w:r>
                    <w:r>
                      <w:rPr>
                        <w:rFonts w:hint="default"/>
                        <w:spacing w:val="0"/>
                        <w:sz w:val="24"/>
                      </w:rPr>
                      <w:fldChar w:fldCharType="separate"/>
                    </w:r>
                    <w:r>
                      <w:rPr>
                        <w:rFonts w:hint="default"/>
                        <w:spacing w:val="0"/>
                        <w:sz w:val="24"/>
                      </w:rPr>
                      <w:t>1</w:t>
                    </w:r>
                    <w:r>
                      <w:rPr>
                        <w:rFonts w:hint="default"/>
                        <w:spacing w:val="0"/>
                        <w:sz w:val="24"/>
                      </w:rPr>
                      <w:fldChar w:fldCharType="end"/>
                    </w:r>
                    <w:r>
                      <w:rPr>
                        <w:rFonts w:hint="eastAsia"/>
                        <w:lang w:val="en-US" w:eastAsia="zh-CN"/>
                      </w:rPr>
                      <w:t xml:space="preserve"> </w:t>
                    </w:r>
                    <w:r>
                      <w:rPr>
                        <w:rFonts w:hint="default"/>
                        <w:lang w:val="en-US" w:eastAsia="zh-CN"/>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bidi w:val="0"/>
      <w:rPr>
        <w:rFonts w:hint="default"/>
        <w:lang w:val="en-US" w:eastAsia="zh-CN"/>
      </w:rPr>
    </w:pPr>
    <w:r>
      <w:rPr>
        <w:rFonts w:hint="default"/>
        <w:lang w:val="en-US" w:eastAsia="zh-CN"/>
      </w:rPr>
      <w:t xml:space="preserve">--- </w:t>
    </w:r>
    <w:r>
      <w:rPr>
        <w:rFonts w:hint="eastAsia"/>
        <w:lang w:val="en-US" w:eastAsia="zh-CN"/>
      </w:rPr>
      <w:t xml:space="preserve"> </w:t>
    </w:r>
    <w:r>
      <w:rPr>
        <w:rFonts w:hint="default"/>
        <w:spacing w:val="0"/>
        <w:sz w:val="24"/>
      </w:rPr>
      <w:fldChar w:fldCharType="begin"/>
    </w:r>
    <w:r>
      <w:rPr>
        <w:rFonts w:hint="default"/>
        <w:spacing w:val="0"/>
        <w:sz w:val="24"/>
      </w:rPr>
      <w:instrText xml:space="preserve"> PAGE  \* MERGEFORMAT </w:instrText>
    </w:r>
    <w:r>
      <w:rPr>
        <w:rFonts w:hint="default"/>
        <w:spacing w:val="0"/>
        <w:sz w:val="24"/>
      </w:rPr>
      <w:fldChar w:fldCharType="separate"/>
    </w:r>
    <w:r>
      <w:rPr>
        <w:rFonts w:hint="default"/>
        <w:spacing w:val="0"/>
        <w:sz w:val="24"/>
      </w:rPr>
      <w:t>1</w:t>
    </w:r>
    <w:r>
      <w:rPr>
        <w:rFonts w:hint="default"/>
        <w:spacing w:val="0"/>
        <w:sz w:val="24"/>
      </w:rPr>
      <w:fldChar w:fldCharType="end"/>
    </w:r>
    <w:r>
      <w:rPr>
        <w:rFonts w:hint="eastAsia"/>
        <w:lang w:val="en-US" w:eastAsia="zh-CN"/>
      </w:rPr>
      <w:t xml:space="preserve"> </w:t>
    </w:r>
    <w:r>
      <w:rPr>
        <w:rFonts w:hint="default"/>
        <w:lang w:val="en-US" w:eastAsia="zh-CN"/>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rFonts w:hint="default"/>
      </w:rPr>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-44450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bidi w:val="0"/>
                            <w:rPr>
                              <w:rFonts w:hint="default"/>
                              <w:lang w:val="en-US" w:eastAsia="zh-CN"/>
                            </w:rPr>
                          </w:pPr>
                          <w:r>
                            <w:rPr>
                              <w:rFonts w:hint="default"/>
                              <w:lang w:val="en-US" w:eastAsia="zh-CN"/>
                            </w:rPr>
                            <w:t xml:space="preserve">--- </w:t>
                          </w:r>
                          <w:r>
                            <w:rPr>
                              <w:rFonts w:hint="eastAsia"/>
                              <w:lang w:val="en-US" w:eastAsia="zh-CN"/>
                            </w:rPr>
                            <w:t xml:space="preserve"> </w:t>
                          </w:r>
                          <w:r>
                            <w:rPr>
                              <w:rFonts w:hint="default"/>
                              <w:spacing w:val="0"/>
                              <w:sz w:val="24"/>
                            </w:rPr>
                            <w:fldChar w:fldCharType="begin"/>
                          </w:r>
                          <w:r>
                            <w:rPr>
                              <w:rFonts w:hint="default"/>
                              <w:spacing w:val="0"/>
                              <w:sz w:val="24"/>
                            </w:rPr>
                            <w:instrText xml:space="preserve"> PAGE  \* MERGEFORMAT </w:instrText>
                          </w:r>
                          <w:r>
                            <w:rPr>
                              <w:rFonts w:hint="default"/>
                              <w:spacing w:val="0"/>
                              <w:sz w:val="24"/>
                            </w:rPr>
                            <w:fldChar w:fldCharType="separate"/>
                          </w:r>
                          <w:r>
                            <w:rPr>
                              <w:rFonts w:hint="default"/>
                              <w:spacing w:val="0"/>
                              <w:sz w:val="24"/>
                            </w:rPr>
                            <w:t>1</w:t>
                          </w:r>
                          <w:r>
                            <w:rPr>
                              <w:rFonts w:hint="default"/>
                              <w:spacing w:val="0"/>
                              <w:sz w:val="24"/>
                            </w:rPr>
                            <w:fldChar w:fldCharType="end"/>
                          </w:r>
                          <w:r>
                            <w:rPr>
                              <w:rFonts w:hint="eastAsia"/>
                              <w:lang w:val="en-US" w:eastAsia="zh-CN"/>
                            </w:rPr>
                            <w:t xml:space="preserve"> </w:t>
                          </w:r>
                          <w:r>
                            <w:rPr>
                              <w:rFonts w:hint="default"/>
                              <w:lang w:val="en-US"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3.5pt;height:144pt;width:144pt;mso-position-horizontal:outside;mso-position-horizontal-relative:margin;mso-wrap-style:none;z-index:251661312;mso-width-relative:page;mso-height-relative:page;" filled="f" stroked="f" coordsize="21600,21600" o:gfxdata="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HYrYLTAAAABwEAAA8AAAAAAAAAAQAgAAAAIgAAAGRycy9kb3ducmV2LnhtbFBLAQIU&#10;ABQAAAAIAIdO4kC989aEMQIAAGMEAAAOAAAAAAAAAAEAIAAAACIBAABkcnMvZTJvRG9jLnhtbFBL&#10;BQYAAAAABgAGAFkBAADFBQAAAAA=&#10;">
              <v:fill on="f" focussize="0,0"/>
              <v:stroke on="f" weight="0.5pt"/>
              <v:imagedata o:title=""/>
              <o:lock v:ext="edit" aspectratio="f"/>
              <v:textbox inset="0mm,0mm,0mm,0mm" style="mso-fit-shape-to-text:t;">
                <w:txbxContent>
                  <w:p>
                    <w:pPr>
                      <w:pStyle w:val="24"/>
                      <w:bidi w:val="0"/>
                      <w:rPr>
                        <w:rFonts w:hint="default"/>
                        <w:lang w:val="en-US" w:eastAsia="zh-CN"/>
                      </w:rPr>
                    </w:pPr>
                    <w:r>
                      <w:rPr>
                        <w:rFonts w:hint="default"/>
                        <w:lang w:val="en-US" w:eastAsia="zh-CN"/>
                      </w:rPr>
                      <w:t xml:space="preserve">--- </w:t>
                    </w:r>
                    <w:r>
                      <w:rPr>
                        <w:rFonts w:hint="eastAsia"/>
                        <w:lang w:val="en-US" w:eastAsia="zh-CN"/>
                      </w:rPr>
                      <w:t xml:space="preserve"> </w:t>
                    </w:r>
                    <w:r>
                      <w:rPr>
                        <w:rFonts w:hint="default"/>
                        <w:spacing w:val="0"/>
                        <w:sz w:val="24"/>
                      </w:rPr>
                      <w:fldChar w:fldCharType="begin"/>
                    </w:r>
                    <w:r>
                      <w:rPr>
                        <w:rFonts w:hint="default"/>
                        <w:spacing w:val="0"/>
                        <w:sz w:val="24"/>
                      </w:rPr>
                      <w:instrText xml:space="preserve"> PAGE  \* MERGEFORMAT </w:instrText>
                    </w:r>
                    <w:r>
                      <w:rPr>
                        <w:rFonts w:hint="default"/>
                        <w:spacing w:val="0"/>
                        <w:sz w:val="24"/>
                      </w:rPr>
                      <w:fldChar w:fldCharType="separate"/>
                    </w:r>
                    <w:r>
                      <w:rPr>
                        <w:rFonts w:hint="default"/>
                        <w:spacing w:val="0"/>
                        <w:sz w:val="24"/>
                      </w:rPr>
                      <w:t>1</w:t>
                    </w:r>
                    <w:r>
                      <w:rPr>
                        <w:rFonts w:hint="default"/>
                        <w:spacing w:val="0"/>
                        <w:sz w:val="24"/>
                      </w:rPr>
                      <w:fldChar w:fldCharType="end"/>
                    </w:r>
                    <w:r>
                      <w:rPr>
                        <w:rFonts w:hint="eastAsia"/>
                        <w:lang w:val="en-US" w:eastAsia="zh-CN"/>
                      </w:rPr>
                      <w:t xml:space="preserve"> </w:t>
                    </w:r>
                    <w:r>
                      <w:rPr>
                        <w:rFonts w:hint="default"/>
                        <w:lang w:val="en-US" w:eastAsia="zh-CN"/>
                      </w:rP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-44450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bidi w:val="0"/>
                            <w:rPr>
                              <w:rFonts w:hint="default"/>
                              <w:lang w:val="en-US" w:eastAsia="zh-CN"/>
                            </w:rPr>
                          </w:pPr>
                          <w:r>
                            <w:rPr>
                              <w:rFonts w:hint="default"/>
                              <w:lang w:val="en-US" w:eastAsia="zh-CN"/>
                            </w:rPr>
                            <w:t xml:space="preserve">--- </w:t>
                          </w:r>
                          <w:r>
                            <w:rPr>
                              <w:rFonts w:hint="eastAsia"/>
                              <w:lang w:val="en-US" w:eastAsia="zh-CN"/>
                            </w:rPr>
                            <w:t xml:space="preserve"> </w:t>
                          </w:r>
                          <w:r>
                            <w:rPr>
                              <w:rFonts w:hint="default"/>
                              <w:spacing w:val="0"/>
                              <w:sz w:val="24"/>
                            </w:rPr>
                            <w:fldChar w:fldCharType="begin"/>
                          </w:r>
                          <w:r>
                            <w:rPr>
                              <w:rFonts w:hint="default"/>
                              <w:spacing w:val="0"/>
                              <w:sz w:val="24"/>
                            </w:rPr>
                            <w:instrText xml:space="preserve"> PAGE  \* MERGEFORMAT </w:instrText>
                          </w:r>
                          <w:r>
                            <w:rPr>
                              <w:rFonts w:hint="default"/>
                              <w:spacing w:val="0"/>
                              <w:sz w:val="24"/>
                            </w:rPr>
                            <w:fldChar w:fldCharType="separate"/>
                          </w:r>
                          <w:r>
                            <w:rPr>
                              <w:rFonts w:hint="default"/>
                              <w:spacing w:val="0"/>
                              <w:sz w:val="24"/>
                            </w:rPr>
                            <w:t>1</w:t>
                          </w:r>
                          <w:r>
                            <w:rPr>
                              <w:rFonts w:hint="default"/>
                              <w:spacing w:val="0"/>
                              <w:sz w:val="24"/>
                            </w:rPr>
                            <w:fldChar w:fldCharType="end"/>
                          </w:r>
                          <w:r>
                            <w:rPr>
                              <w:rFonts w:hint="eastAsia"/>
                              <w:lang w:val="en-US" w:eastAsia="zh-CN"/>
                            </w:rPr>
                            <w:t xml:space="preserve"> </w:t>
                          </w:r>
                          <w:r>
                            <w:rPr>
                              <w:rFonts w:hint="default"/>
                              <w:lang w:val="en-US"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3.5pt;height:144pt;width:144pt;mso-position-horizontal:outside;mso-position-horizontal-relative:margin;mso-wrap-style:none;z-index:251662336;mso-width-relative:page;mso-height-relative:page;" filled="f" stroked="f" coordsize="21600,21600" o:gfxdata="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B2K2C0wAAAAcBAAAPAAAAAAAAAAEAIAAAACIAAABkcnMvZG93bnJldi54bWxQSwEC&#10;FAAUAAAACACHTuJA/1tBazICAABjBAAADgAAAAAAAAABACAAAAAiAQAAZHJzL2Uyb0RvYy54bWxQ&#10;SwUGAAAAAAYABgBZAQAAxgUAAAAA&#10;">
              <v:fill on="f" focussize="0,0"/>
              <v:stroke on="f" weight="0.5pt"/>
              <v:imagedata o:title=""/>
              <o:lock v:ext="edit" aspectratio="f"/>
              <v:textbox inset="0mm,0mm,0mm,0mm" style="mso-fit-shape-to-text:t;">
                <w:txbxContent>
                  <w:p>
                    <w:pPr>
                      <w:pStyle w:val="24"/>
                      <w:bidi w:val="0"/>
                      <w:rPr>
                        <w:rFonts w:hint="default"/>
                        <w:lang w:val="en-US" w:eastAsia="zh-CN"/>
                      </w:rPr>
                    </w:pPr>
                    <w:r>
                      <w:rPr>
                        <w:rFonts w:hint="default"/>
                        <w:lang w:val="en-US" w:eastAsia="zh-CN"/>
                      </w:rPr>
                      <w:t xml:space="preserve">--- </w:t>
                    </w:r>
                    <w:r>
                      <w:rPr>
                        <w:rFonts w:hint="eastAsia"/>
                        <w:lang w:val="en-US" w:eastAsia="zh-CN"/>
                      </w:rPr>
                      <w:t xml:space="preserve"> </w:t>
                    </w:r>
                    <w:r>
                      <w:rPr>
                        <w:rFonts w:hint="default"/>
                        <w:spacing w:val="0"/>
                        <w:sz w:val="24"/>
                      </w:rPr>
                      <w:fldChar w:fldCharType="begin"/>
                    </w:r>
                    <w:r>
                      <w:rPr>
                        <w:rFonts w:hint="default"/>
                        <w:spacing w:val="0"/>
                        <w:sz w:val="24"/>
                      </w:rPr>
                      <w:instrText xml:space="preserve"> PAGE  \* MERGEFORMAT </w:instrText>
                    </w:r>
                    <w:r>
                      <w:rPr>
                        <w:rFonts w:hint="default"/>
                        <w:spacing w:val="0"/>
                        <w:sz w:val="24"/>
                      </w:rPr>
                      <w:fldChar w:fldCharType="separate"/>
                    </w:r>
                    <w:r>
                      <w:rPr>
                        <w:rFonts w:hint="default"/>
                        <w:spacing w:val="0"/>
                        <w:sz w:val="24"/>
                      </w:rPr>
                      <w:t>1</w:t>
                    </w:r>
                    <w:r>
                      <w:rPr>
                        <w:rFonts w:hint="default"/>
                        <w:spacing w:val="0"/>
                        <w:sz w:val="24"/>
                      </w:rPr>
                      <w:fldChar w:fldCharType="end"/>
                    </w:r>
                    <w:r>
                      <w:rPr>
                        <w:rFonts w:hint="eastAsia"/>
                        <w:lang w:val="en-US" w:eastAsia="zh-CN"/>
                      </w:rPr>
                      <w:t xml:space="preserve"> </w:t>
                    </w:r>
                    <w:r>
                      <w:rPr>
                        <w:rFonts w:hint="default"/>
                        <w:lang w:val="en-US" w:eastAsia="zh-CN"/>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keepNext w:val="0"/>
      <w:keepLines w:val="0"/>
      <w:pageBreakBefore w:val="0"/>
      <w:widowControl w:val="0"/>
      <w:pBdr>
        <w:bottom w:val="none" w:color="auto" w:sz="0" w:space="0"/>
      </w:pBdr>
      <w:kinsoku/>
      <w:wordWrap/>
      <w:overflowPunct/>
      <w:topLinePunct w:val="0"/>
      <w:bidi w:val="0"/>
      <w:spacing w:beforeLines="0" w:afterLines="0" w:line="240" w:lineRule="auto"/>
      <w:jc w:val="right"/>
      <w:rPr>
        <w:rFonts w:hint="default" w:ascii="Times New Roman" w:hAnsi="Times New Roman" w:eastAsia="华文中宋" w:cs="Times New Roman"/>
        <w:color w:val="000000" w:themeColor="text1"/>
        <w:sz w:val="26"/>
        <w:szCs w:val="24"/>
        <w14:textFill>
          <w14:solidFill>
            <w14:schemeClr w14:val="tx1"/>
          </w14:solidFill>
        </w14:textFill>
      </w:rPr>
    </w:pPr>
    <w:r>
      <w:rPr>
        <w:rFonts w:hint="default" w:ascii="Times New Roman" w:hAnsi="Times New Roman" w:eastAsia="方正大标宋简体" w:cs="Times New Roman"/>
        <w:i/>
        <w:iCs/>
        <w:color w:val="000000" w:themeColor="text1"/>
        <w:sz w:val="26"/>
        <w:szCs w:val="24"/>
        <w14:textFill>
          <w14:solidFill>
            <w14:schemeClr w14:val="tx1"/>
          </w14:solidFill>
        </w14:textFill>
      </w:rPr>
      <w:t>2022</w:t>
    </w:r>
    <w:r>
      <w:rPr>
        <w:rFonts w:hint="default" w:ascii="Times New Roman" w:hAnsi="Times New Roman" w:eastAsia="方正大标宋简体" w:cs="Times New Roman"/>
        <w:i/>
        <w:iCs/>
        <w:color w:val="000000" w:themeColor="text1"/>
        <w:sz w:val="26"/>
        <w:szCs w:val="24"/>
        <w:lang w:val="en-US" w:eastAsia="zh-CN"/>
        <w14:textFill>
          <w14:solidFill>
            <w14:schemeClr w14:val="tx1"/>
          </w14:solidFill>
        </w14:textFill>
      </w:rPr>
      <w:t xml:space="preserve"> </w:t>
    </w:r>
    <w:r>
      <w:rPr>
        <w:rFonts w:hint="default" w:ascii="Times New Roman" w:hAnsi="Times New Roman" w:eastAsia="华文中宋" w:cs="Times New Roman"/>
        <w:color w:val="000000" w:themeColor="text1"/>
        <w:spacing w:val="-31"/>
        <w:sz w:val="26"/>
        <w:szCs w:val="24"/>
        <w14:textFill>
          <w14:solidFill>
            <w14:schemeClr w14:val="tx1"/>
          </w14:solidFill>
        </w14:textFill>
      </w:rPr>
      <w:t>年 第</w:t>
    </w:r>
    <w:r>
      <w:rPr>
        <w:rFonts w:hint="default" w:ascii="Times New Roman" w:hAnsi="Times New Roman" w:eastAsia="华文中宋" w:cs="Times New Roman"/>
        <w:color w:val="000000" w:themeColor="text1"/>
        <w:spacing w:val="-31"/>
        <w:sz w:val="26"/>
        <w:szCs w:val="24"/>
        <w:lang w:val="en-US" w:eastAsia="zh-CN"/>
        <w14:textFill>
          <w14:solidFill>
            <w14:schemeClr w14:val="tx1"/>
          </w14:solidFill>
        </w14:textFill>
      </w:rPr>
      <w:t xml:space="preserve"> </w:t>
    </w:r>
    <w:r>
      <w:rPr>
        <w:rFonts w:hint="eastAsia" w:ascii="Times New Roman" w:hAnsi="Times New Roman" w:eastAsia="方正大标宋简体" w:cs="Times New Roman"/>
        <w:color w:val="000000" w:themeColor="text1"/>
        <w:spacing w:val="-31"/>
        <w:sz w:val="26"/>
        <w:szCs w:val="24"/>
        <w:lang w:val="en-US" w:eastAsia="zh-CN"/>
        <w14:textFill>
          <w14:solidFill>
            <w14:schemeClr w14:val="tx1"/>
          </w14:solidFill>
        </w14:textFill>
      </w:rPr>
      <w:t>4</w:t>
    </w:r>
    <w:r>
      <w:rPr>
        <w:rFonts w:hint="default" w:ascii="Times New Roman" w:hAnsi="Times New Roman" w:eastAsia="方正大标宋简体" w:cs="Times New Roman"/>
        <w:color w:val="000000" w:themeColor="text1"/>
        <w:spacing w:val="-31"/>
        <w:sz w:val="26"/>
        <w:szCs w:val="24"/>
        <w:lang w:val="en-US" w:eastAsia="zh-CN"/>
        <w14:textFill>
          <w14:solidFill>
            <w14:schemeClr w14:val="tx1"/>
          </w14:solidFill>
        </w14:textFill>
      </w:rPr>
      <w:t xml:space="preserve"> </w:t>
    </w:r>
    <w:r>
      <w:rPr>
        <w:rFonts w:hint="default" w:ascii="Times New Roman" w:hAnsi="Times New Roman" w:eastAsia="华文中宋" w:cs="Times New Roman"/>
        <w:color w:val="000000" w:themeColor="text1"/>
        <w:spacing w:val="-31"/>
        <w:sz w:val="26"/>
        <w:szCs w:val="24"/>
        <w14:textFill>
          <w14:solidFill>
            <w14:schemeClr w14:val="tx1"/>
          </w14:solidFill>
        </w14:textFill>
      </w:rPr>
      <w:t>期</w:t>
    </w:r>
    <w:r>
      <w:rPr>
        <w:rFonts w:hint="default" w:ascii="Times New Roman" w:hAnsi="Times New Roman" w:eastAsia="华文中宋" w:cs="Times New Roman"/>
        <w:color w:val="000000" w:themeColor="text1"/>
        <w:sz w:val="26"/>
        <w:szCs w:val="24"/>
        <w14:textFill>
          <w14:solidFill>
            <w14:schemeClr w14:val="tx1"/>
          </w14:solidFill>
        </w14:textFill>
      </w:rPr>
      <w:t xml:space="preserve">  原平市人民政府公报</w:t>
    </w:r>
  </w:p>
  <w:p>
    <w:pPr>
      <w:pStyle w:val="15"/>
      <w:keepNext w:val="0"/>
      <w:keepLines w:val="0"/>
      <w:pageBreakBefore w:val="0"/>
      <w:widowControl w:val="0"/>
      <w:pBdr>
        <w:bottom w:val="none" w:color="auto" w:sz="0" w:space="1"/>
      </w:pBdr>
      <w:kinsoku/>
      <w:wordWrap/>
      <w:overflowPunct/>
      <w:topLinePunct w:val="0"/>
      <w:bidi w:val="0"/>
      <w:spacing w:line="240" w:lineRule="auto"/>
      <w:rPr>
        <w:rFonts w:hint="default" w:ascii="Times New Roman" w:hAnsi="Times New Roman" w:cs="Times New Roman"/>
        <w:color w:val="FF0000"/>
      </w:rPr>
    </w:pPr>
    <w:r>
      <w:rPr>
        <w:rFonts w:hint="default" w:ascii="Times New Roman" w:hAnsi="Times New Roman" w:cs="Times New Roman"/>
        <w:color w:val="FF0000"/>
        <w:sz w:val="18"/>
      </w:rPr>
      <mc:AlternateContent>
        <mc:Choice Requires="wps">
          <w:drawing>
            <wp:anchor distT="0" distB="0" distL="114300" distR="114300" simplePos="0" relativeHeight="251663360" behindDoc="0" locked="0" layoutInCell="1" allowOverlap="1">
              <wp:simplePos x="0" y="0"/>
              <wp:positionH relativeFrom="column">
                <wp:posOffset>-12065</wp:posOffset>
              </wp:positionH>
              <wp:positionV relativeFrom="paragraph">
                <wp:posOffset>18415</wp:posOffset>
              </wp:positionV>
              <wp:extent cx="6008370" cy="635"/>
              <wp:effectExtent l="0" t="11430" r="11430" b="16510"/>
              <wp:wrapNone/>
              <wp:docPr id="31" name="直接连接符 31"/>
              <wp:cNvGraphicFramePr/>
              <a:graphic xmlns:a="http://schemas.openxmlformats.org/drawingml/2006/main">
                <a:graphicData uri="http://schemas.microsoft.com/office/word/2010/wordprocessingShape">
                  <wps:wsp>
                    <wps:cNvCnPr/>
                    <wps:spPr>
                      <a:xfrm flipV="1">
                        <a:off x="892810" y="931545"/>
                        <a:ext cx="6008370" cy="635"/>
                      </a:xfrm>
                      <a:prstGeom prst="line">
                        <a:avLst/>
                      </a:prstGeom>
                      <a:ln w="2286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0.95pt;margin-top:1.45pt;height:0.05pt;width:473.1pt;z-index:251663360;mso-width-relative:page;mso-height-relative:page;" filled="f" stroked="t" coordsize="21600,21600" o:gfxdata="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PySAtrWAAAABgEAAA8AAAAAAAAAAQAgAAAAIgAAAGRycy9kb3ducmV2Lnht&#10;bFBLAQIUABQAAAAIAIdO4kAkmnHT+wEAAMoDAAAOAAAAAAAAAAEAIAAAACUBAABkcnMvZTJvRG9j&#10;LnhtbFBLBQYAAAAABgAGAFkBAACSBQAAAAA=&#10;">
              <v:fill on="f" focussize="0,0"/>
              <v:stroke weight="1.8pt" color="#000000 [3213]" miterlimit="8" joinstyle="miter"/>
              <v:imagedata o:title=""/>
              <o:lock v:ext="edit" aspectratio="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keepNext w:val="0"/>
      <w:keepLines w:val="0"/>
      <w:pageBreakBefore w:val="0"/>
      <w:widowControl w:val="0"/>
      <w:pBdr>
        <w:bottom w:val="none" w:color="auto" w:sz="0" w:space="0"/>
      </w:pBdr>
      <w:kinsoku/>
      <w:wordWrap/>
      <w:overflowPunct/>
      <w:topLinePunct w:val="0"/>
      <w:bidi w:val="0"/>
      <w:spacing w:beforeLines="0" w:afterLines="0" w:line="240" w:lineRule="auto"/>
      <w:ind w:left="240" w:leftChars="100"/>
      <w:jc w:val="left"/>
      <w:rPr>
        <w:rFonts w:hint="default" w:ascii="Times New Roman" w:hAnsi="Times New Roman" w:eastAsia="华文中宋" w:cs="Times New Roman"/>
        <w:color w:val="000000" w:themeColor="text1"/>
        <w:sz w:val="26"/>
        <w:szCs w:val="24"/>
        <w14:textFill>
          <w14:solidFill>
            <w14:schemeClr w14:val="tx1"/>
          </w14:solidFill>
        </w14:textFill>
      </w:rPr>
    </w:pPr>
    <w:r>
      <w:rPr>
        <w:rFonts w:hint="default" w:ascii="Times New Roman" w:hAnsi="Times New Roman" w:eastAsia="方正大标宋简体" w:cs="Times New Roman"/>
        <w:i/>
        <w:iCs/>
        <w:color w:val="000000" w:themeColor="text1"/>
        <w:sz w:val="26"/>
        <w:szCs w:val="24"/>
        <w14:textFill>
          <w14:solidFill>
            <w14:schemeClr w14:val="tx1"/>
          </w14:solidFill>
        </w14:textFill>
      </w:rPr>
      <w:t>2022</w:t>
    </w:r>
    <w:r>
      <w:rPr>
        <w:rFonts w:hint="default" w:ascii="Times New Roman" w:hAnsi="Times New Roman" w:eastAsia="方正大标宋简体" w:cs="Times New Roman"/>
        <w:i/>
        <w:iCs/>
        <w:color w:val="000000" w:themeColor="text1"/>
        <w:sz w:val="26"/>
        <w:szCs w:val="24"/>
        <w:lang w:val="en-US" w:eastAsia="zh-CN"/>
        <w14:textFill>
          <w14:solidFill>
            <w14:schemeClr w14:val="tx1"/>
          </w14:solidFill>
        </w14:textFill>
      </w:rPr>
      <w:t xml:space="preserve"> </w:t>
    </w:r>
    <w:r>
      <w:rPr>
        <w:rFonts w:hint="default" w:ascii="Times New Roman" w:hAnsi="Times New Roman" w:eastAsia="华文中宋" w:cs="Times New Roman"/>
        <w:color w:val="000000" w:themeColor="text1"/>
        <w:spacing w:val="-31"/>
        <w:sz w:val="26"/>
        <w:szCs w:val="24"/>
        <w14:textFill>
          <w14:solidFill>
            <w14:schemeClr w14:val="tx1"/>
          </w14:solidFill>
        </w14:textFill>
      </w:rPr>
      <w:t>年 第</w:t>
    </w:r>
    <w:r>
      <w:rPr>
        <w:rFonts w:hint="default" w:ascii="Times New Roman" w:hAnsi="Times New Roman" w:eastAsia="华文中宋" w:cs="Times New Roman"/>
        <w:color w:val="000000" w:themeColor="text1"/>
        <w:spacing w:val="-31"/>
        <w:sz w:val="26"/>
        <w:szCs w:val="24"/>
        <w:lang w:val="en-US" w:eastAsia="zh-CN"/>
        <w14:textFill>
          <w14:solidFill>
            <w14:schemeClr w14:val="tx1"/>
          </w14:solidFill>
        </w14:textFill>
      </w:rPr>
      <w:t xml:space="preserve"> </w:t>
    </w:r>
    <w:r>
      <w:rPr>
        <w:rFonts w:hint="eastAsia" w:ascii="Times New Roman" w:hAnsi="Times New Roman" w:eastAsia="方正大标宋简体" w:cs="Times New Roman"/>
        <w:color w:val="000000" w:themeColor="text1"/>
        <w:spacing w:val="-31"/>
        <w:sz w:val="26"/>
        <w:szCs w:val="24"/>
        <w:lang w:val="en-US" w:eastAsia="zh-CN"/>
        <w14:textFill>
          <w14:solidFill>
            <w14:schemeClr w14:val="tx1"/>
          </w14:solidFill>
        </w14:textFill>
      </w:rPr>
      <w:t xml:space="preserve">4 </w:t>
    </w:r>
    <w:r>
      <w:rPr>
        <w:rFonts w:hint="default" w:ascii="Times New Roman" w:hAnsi="Times New Roman" w:eastAsia="华文中宋" w:cs="Times New Roman"/>
        <w:color w:val="000000" w:themeColor="text1"/>
        <w:spacing w:val="-31"/>
        <w:sz w:val="26"/>
        <w:szCs w:val="24"/>
        <w14:textFill>
          <w14:solidFill>
            <w14:schemeClr w14:val="tx1"/>
          </w14:solidFill>
        </w14:textFill>
      </w:rPr>
      <w:t>期</w:t>
    </w:r>
    <w:r>
      <w:rPr>
        <w:rFonts w:hint="default" w:ascii="Times New Roman" w:hAnsi="Times New Roman" w:eastAsia="华文中宋" w:cs="Times New Roman"/>
        <w:color w:val="000000" w:themeColor="text1"/>
        <w:sz w:val="26"/>
        <w:szCs w:val="24"/>
        <w14:textFill>
          <w14:solidFill>
            <w14:schemeClr w14:val="tx1"/>
          </w14:solidFill>
        </w14:textFill>
      </w:rPr>
      <w:t xml:space="preserve">  原平市人民政府公报</w:t>
    </w:r>
  </w:p>
  <w:p>
    <w:pPr>
      <w:pStyle w:val="15"/>
      <w:keepNext w:val="0"/>
      <w:keepLines w:val="0"/>
      <w:pageBreakBefore w:val="0"/>
      <w:widowControl w:val="0"/>
      <w:pBdr>
        <w:bottom w:val="none" w:color="auto" w:sz="0" w:space="1"/>
      </w:pBdr>
      <w:kinsoku/>
      <w:wordWrap/>
      <w:overflowPunct/>
      <w:topLinePunct w:val="0"/>
      <w:bidi w:val="0"/>
      <w:spacing w:line="240" w:lineRule="auto"/>
      <w:ind w:left="0" w:leftChars="0" w:firstLine="0" w:firstLineChars="0"/>
    </w:pPr>
    <w:r>
      <w:rPr>
        <w:rFonts w:hint="default" w:ascii="Times New Roman" w:hAnsi="Times New Roman" w:cs="Times New Roman"/>
        <w:color w:val="FF0000"/>
        <w:sz w:val="18"/>
      </w:rPr>
      <mc:AlternateContent>
        <mc:Choice Requires="wps">
          <w:drawing>
            <wp:anchor distT="0" distB="0" distL="114300" distR="114300" simplePos="0" relativeHeight="251664384" behindDoc="0" locked="0" layoutInCell="1" allowOverlap="1">
              <wp:simplePos x="0" y="0"/>
              <wp:positionH relativeFrom="column">
                <wp:posOffset>-12065</wp:posOffset>
              </wp:positionH>
              <wp:positionV relativeFrom="paragraph">
                <wp:posOffset>18415</wp:posOffset>
              </wp:positionV>
              <wp:extent cx="6008370" cy="635"/>
              <wp:effectExtent l="0" t="11430" r="11430" b="16510"/>
              <wp:wrapNone/>
              <wp:docPr id="38" name="直接连接符 38"/>
              <wp:cNvGraphicFramePr/>
              <a:graphic xmlns:a="http://schemas.openxmlformats.org/drawingml/2006/main">
                <a:graphicData uri="http://schemas.microsoft.com/office/word/2010/wordprocessingShape">
                  <wps:wsp>
                    <wps:cNvCnPr/>
                    <wps:spPr>
                      <a:xfrm flipV="1">
                        <a:off x="892810" y="931545"/>
                        <a:ext cx="6008370" cy="635"/>
                      </a:xfrm>
                      <a:prstGeom prst="line">
                        <a:avLst/>
                      </a:prstGeom>
                      <a:ln w="2286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0.95pt;margin-top:1.45pt;height:0.05pt;width:473.1pt;z-index:251664384;mso-width-relative:page;mso-height-relative:page;" filled="f" stroked="t" coordsize="21600,21600" o:gfxdata="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JIC2tYAAAAGAQAADwAAAAAAAAABACAAAAAiAAAAZHJzL2Rvd25yZXYueG1s&#10;UEsBAhQAFAAAAAgAh07iQOlUq/36AQAAygMAAA4AAAAAAAAAAQAgAAAAJQEAAGRycy9lMm9Eb2Mu&#10;eG1sUEsFBgAAAAAGAAYAWQEAAJEFAAAAAA==&#10;">
              <v:fill on="f" focussize="0,0"/>
              <v:stroke weight="1.8pt" color="#000000 [3213]" miterlimit="8" joinstyle="miter"/>
              <v:imagedata o:title=""/>
              <o:lock v:ext="edit" aspectratio="f"/>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keepNext w:val="0"/>
      <w:keepLines w:val="0"/>
      <w:pageBreakBefore w:val="0"/>
      <w:widowControl w:val="0"/>
      <w:pBdr>
        <w:bottom w:val="none" w:color="auto" w:sz="0" w:space="0"/>
      </w:pBdr>
      <w:kinsoku/>
      <w:wordWrap/>
      <w:overflowPunct/>
      <w:topLinePunct w:val="0"/>
      <w:bidi w:val="0"/>
      <w:spacing w:beforeLines="0" w:afterLines="0" w:line="240" w:lineRule="auto"/>
      <w:ind w:left="240" w:leftChars="100"/>
      <w:jc w:val="right"/>
      <w:rPr>
        <w:rFonts w:hint="default" w:ascii="Times New Roman" w:hAnsi="Times New Roman" w:eastAsia="华文中宋" w:cs="Times New Roman"/>
        <w:color w:val="000000" w:themeColor="text1"/>
        <w:sz w:val="26"/>
        <w:szCs w:val="24"/>
        <w14:textFill>
          <w14:solidFill>
            <w14:schemeClr w14:val="tx1"/>
          </w14:solidFill>
        </w14:textFill>
      </w:rPr>
    </w:pPr>
    <w:r>
      <w:rPr>
        <w:rFonts w:hint="default" w:ascii="Times New Roman" w:hAnsi="Times New Roman" w:eastAsia="方正大标宋简体" w:cs="Times New Roman"/>
        <w:i/>
        <w:iCs/>
        <w:color w:val="000000" w:themeColor="text1"/>
        <w:sz w:val="26"/>
        <w:szCs w:val="24"/>
        <w14:textFill>
          <w14:solidFill>
            <w14:schemeClr w14:val="tx1"/>
          </w14:solidFill>
        </w14:textFill>
      </w:rPr>
      <w:t>2022</w:t>
    </w:r>
    <w:r>
      <w:rPr>
        <w:rFonts w:hint="default" w:ascii="Times New Roman" w:hAnsi="Times New Roman" w:eastAsia="方正大标宋简体" w:cs="Times New Roman"/>
        <w:i/>
        <w:iCs/>
        <w:color w:val="000000" w:themeColor="text1"/>
        <w:sz w:val="26"/>
        <w:szCs w:val="24"/>
        <w:lang w:val="en-US" w:eastAsia="zh-CN"/>
        <w14:textFill>
          <w14:solidFill>
            <w14:schemeClr w14:val="tx1"/>
          </w14:solidFill>
        </w14:textFill>
      </w:rPr>
      <w:t xml:space="preserve"> </w:t>
    </w:r>
    <w:r>
      <w:rPr>
        <w:rFonts w:hint="default" w:ascii="Times New Roman" w:hAnsi="Times New Roman" w:eastAsia="华文中宋" w:cs="Times New Roman"/>
        <w:color w:val="000000" w:themeColor="text1"/>
        <w:spacing w:val="-31"/>
        <w:sz w:val="26"/>
        <w:szCs w:val="24"/>
        <w14:textFill>
          <w14:solidFill>
            <w14:schemeClr w14:val="tx1"/>
          </w14:solidFill>
        </w14:textFill>
      </w:rPr>
      <w:t>年 第</w:t>
    </w:r>
    <w:r>
      <w:rPr>
        <w:rFonts w:hint="default" w:ascii="Times New Roman" w:hAnsi="Times New Roman" w:eastAsia="华文中宋" w:cs="Times New Roman"/>
        <w:color w:val="000000" w:themeColor="text1"/>
        <w:spacing w:val="-31"/>
        <w:sz w:val="26"/>
        <w:szCs w:val="24"/>
        <w:lang w:val="en-US" w:eastAsia="zh-CN"/>
        <w14:textFill>
          <w14:solidFill>
            <w14:schemeClr w14:val="tx1"/>
          </w14:solidFill>
        </w14:textFill>
      </w:rPr>
      <w:t xml:space="preserve"> </w:t>
    </w:r>
    <w:r>
      <w:rPr>
        <w:rFonts w:hint="eastAsia" w:ascii="Times New Roman" w:hAnsi="Times New Roman" w:eastAsia="方正大标宋简体" w:cs="Times New Roman"/>
        <w:color w:val="000000" w:themeColor="text1"/>
        <w:spacing w:val="-31"/>
        <w:sz w:val="26"/>
        <w:szCs w:val="24"/>
        <w:lang w:val="en-US" w:eastAsia="zh-CN"/>
        <w14:textFill>
          <w14:solidFill>
            <w14:schemeClr w14:val="tx1"/>
          </w14:solidFill>
        </w14:textFill>
      </w:rPr>
      <w:t xml:space="preserve">4 </w:t>
    </w:r>
    <w:r>
      <w:rPr>
        <w:rFonts w:hint="default" w:ascii="Times New Roman" w:hAnsi="Times New Roman" w:eastAsia="华文中宋" w:cs="Times New Roman"/>
        <w:color w:val="000000" w:themeColor="text1"/>
        <w:spacing w:val="-31"/>
        <w:sz w:val="26"/>
        <w:szCs w:val="24"/>
        <w14:textFill>
          <w14:solidFill>
            <w14:schemeClr w14:val="tx1"/>
          </w14:solidFill>
        </w14:textFill>
      </w:rPr>
      <w:t>期</w:t>
    </w:r>
    <w:r>
      <w:rPr>
        <w:rFonts w:hint="default" w:ascii="Times New Roman" w:hAnsi="Times New Roman" w:eastAsia="华文中宋" w:cs="Times New Roman"/>
        <w:color w:val="000000" w:themeColor="text1"/>
        <w:sz w:val="26"/>
        <w:szCs w:val="24"/>
        <w14:textFill>
          <w14:solidFill>
            <w14:schemeClr w14:val="tx1"/>
          </w14:solidFill>
        </w14:textFill>
      </w:rPr>
      <w:t xml:space="preserve">  原平市人民政府公报</w:t>
    </w:r>
  </w:p>
  <w:p>
    <w:pPr>
      <w:pStyle w:val="15"/>
      <w:keepNext w:val="0"/>
      <w:keepLines w:val="0"/>
      <w:pageBreakBefore w:val="0"/>
      <w:widowControl w:val="0"/>
      <w:pBdr>
        <w:bottom w:val="none" w:color="auto" w:sz="0" w:space="1"/>
      </w:pBdr>
      <w:kinsoku/>
      <w:wordWrap/>
      <w:overflowPunct/>
      <w:topLinePunct w:val="0"/>
      <w:bidi w:val="0"/>
      <w:spacing w:line="240" w:lineRule="auto"/>
      <w:rPr>
        <w:rFonts w:hint="default" w:ascii="Times New Roman" w:hAnsi="Times New Roman" w:cs="Times New Roman"/>
        <w:color w:val="FF0000"/>
      </w:rPr>
    </w:pPr>
    <w:r>
      <w:rPr>
        <w:rFonts w:hint="default" w:ascii="Times New Roman" w:hAnsi="Times New Roman" w:cs="Times New Roman"/>
        <w:color w:val="FF0000"/>
        <w:sz w:val="18"/>
      </w:rPr>
      <mc:AlternateContent>
        <mc:Choice Requires="wps">
          <w:drawing>
            <wp:anchor distT="0" distB="0" distL="114300" distR="114300" simplePos="0" relativeHeight="251668480" behindDoc="0" locked="0" layoutInCell="1" allowOverlap="1">
              <wp:simplePos x="0" y="0"/>
              <wp:positionH relativeFrom="column">
                <wp:posOffset>-12065</wp:posOffset>
              </wp:positionH>
              <wp:positionV relativeFrom="paragraph">
                <wp:posOffset>18415</wp:posOffset>
              </wp:positionV>
              <wp:extent cx="6008370" cy="635"/>
              <wp:effectExtent l="0" t="11430" r="11430" b="16510"/>
              <wp:wrapNone/>
              <wp:docPr id="2" name="直接连接符 2"/>
              <wp:cNvGraphicFramePr/>
              <a:graphic xmlns:a="http://schemas.openxmlformats.org/drawingml/2006/main">
                <a:graphicData uri="http://schemas.microsoft.com/office/word/2010/wordprocessingShape">
                  <wps:wsp>
                    <wps:cNvCnPr/>
                    <wps:spPr>
                      <a:xfrm flipV="1">
                        <a:off x="892810" y="931545"/>
                        <a:ext cx="6008370" cy="635"/>
                      </a:xfrm>
                      <a:prstGeom prst="line">
                        <a:avLst/>
                      </a:prstGeom>
                      <a:ln w="2286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0.95pt;margin-top:1.45pt;height:0.05pt;width:473.1pt;z-index:251668480;mso-width-relative:page;mso-height-relative:page;" filled="f" stroked="t" coordsize="21600,21600" o:gfxdata="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8kgLa1gAAAAYBAAAPAAAAAAAAAAEAIAAAACIAAABkcnMvZG93bnJldi54bWxQ&#10;SwECFAAUAAAACACHTuJARdKcNPkBAADIAwAADgAAAAAAAAABACAAAAAlAQAAZHJzL2Uyb0RvYy54&#10;bWxQSwUGAAAAAAYABgBZAQAAkAUAAAAA&#10;">
              <v:fill on="f" focussize="0,0"/>
              <v:stroke weight="1.8pt" color="#000000 [3213]" miterlimit="8" joinstyle="miter"/>
              <v:imagedata o:title=""/>
              <o:lock v:ext="edit" aspectratio="f"/>
            </v:lin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keepNext w:val="0"/>
      <w:keepLines w:val="0"/>
      <w:pageBreakBefore w:val="0"/>
      <w:widowControl w:val="0"/>
      <w:pBdr>
        <w:bottom w:val="none" w:color="auto" w:sz="0" w:space="0"/>
      </w:pBdr>
      <w:kinsoku/>
      <w:wordWrap/>
      <w:overflowPunct/>
      <w:topLinePunct w:val="0"/>
      <w:bidi w:val="0"/>
      <w:spacing w:beforeLines="0" w:afterLines="0" w:line="240" w:lineRule="auto"/>
      <w:ind w:left="240" w:leftChars="100"/>
      <w:jc w:val="right"/>
      <w:rPr>
        <w:rFonts w:hint="default" w:ascii="Times New Roman" w:hAnsi="Times New Roman" w:eastAsia="华文中宋" w:cs="Times New Roman"/>
        <w:color w:val="000000" w:themeColor="text1"/>
        <w:sz w:val="26"/>
        <w:szCs w:val="24"/>
        <w14:textFill>
          <w14:solidFill>
            <w14:schemeClr w14:val="tx1"/>
          </w14:solidFill>
        </w14:textFill>
      </w:rPr>
    </w:pPr>
    <w:r>
      <w:rPr>
        <w:rFonts w:hint="default" w:ascii="Times New Roman" w:hAnsi="Times New Roman" w:eastAsia="方正大标宋简体" w:cs="Times New Roman"/>
        <w:i/>
        <w:iCs/>
        <w:color w:val="000000" w:themeColor="text1"/>
        <w:sz w:val="26"/>
        <w:szCs w:val="24"/>
        <w14:textFill>
          <w14:solidFill>
            <w14:schemeClr w14:val="tx1"/>
          </w14:solidFill>
        </w14:textFill>
      </w:rPr>
      <w:t>2022</w:t>
    </w:r>
    <w:r>
      <w:rPr>
        <w:rFonts w:hint="default" w:ascii="Times New Roman" w:hAnsi="Times New Roman" w:eastAsia="方正大标宋简体" w:cs="Times New Roman"/>
        <w:i/>
        <w:iCs/>
        <w:color w:val="000000" w:themeColor="text1"/>
        <w:sz w:val="26"/>
        <w:szCs w:val="24"/>
        <w:lang w:val="en-US" w:eastAsia="zh-CN"/>
        <w14:textFill>
          <w14:solidFill>
            <w14:schemeClr w14:val="tx1"/>
          </w14:solidFill>
        </w14:textFill>
      </w:rPr>
      <w:t xml:space="preserve"> </w:t>
    </w:r>
    <w:r>
      <w:rPr>
        <w:rFonts w:hint="default" w:ascii="Times New Roman" w:hAnsi="Times New Roman" w:eastAsia="华文中宋" w:cs="Times New Roman"/>
        <w:color w:val="000000" w:themeColor="text1"/>
        <w:spacing w:val="-31"/>
        <w:sz w:val="26"/>
        <w:szCs w:val="24"/>
        <w14:textFill>
          <w14:solidFill>
            <w14:schemeClr w14:val="tx1"/>
          </w14:solidFill>
        </w14:textFill>
      </w:rPr>
      <w:t>年 第</w:t>
    </w:r>
    <w:r>
      <w:rPr>
        <w:rFonts w:hint="default" w:ascii="Times New Roman" w:hAnsi="Times New Roman" w:eastAsia="华文中宋" w:cs="Times New Roman"/>
        <w:color w:val="000000" w:themeColor="text1"/>
        <w:spacing w:val="-31"/>
        <w:sz w:val="26"/>
        <w:szCs w:val="24"/>
        <w:lang w:val="en-US" w:eastAsia="zh-CN"/>
        <w14:textFill>
          <w14:solidFill>
            <w14:schemeClr w14:val="tx1"/>
          </w14:solidFill>
        </w14:textFill>
      </w:rPr>
      <w:t xml:space="preserve"> </w:t>
    </w:r>
    <w:r>
      <w:rPr>
        <w:rFonts w:hint="eastAsia" w:ascii="Times New Roman" w:hAnsi="Times New Roman" w:eastAsia="方正大标宋简体" w:cs="Times New Roman"/>
        <w:color w:val="000000" w:themeColor="text1"/>
        <w:spacing w:val="-31"/>
        <w:sz w:val="26"/>
        <w:szCs w:val="24"/>
        <w:lang w:val="en-US" w:eastAsia="zh-CN"/>
        <w14:textFill>
          <w14:solidFill>
            <w14:schemeClr w14:val="tx1"/>
          </w14:solidFill>
        </w14:textFill>
      </w:rPr>
      <w:t xml:space="preserve">4 </w:t>
    </w:r>
    <w:r>
      <w:rPr>
        <w:rFonts w:hint="default" w:ascii="Times New Roman" w:hAnsi="Times New Roman" w:eastAsia="华文中宋" w:cs="Times New Roman"/>
        <w:color w:val="000000" w:themeColor="text1"/>
        <w:spacing w:val="-31"/>
        <w:sz w:val="26"/>
        <w:szCs w:val="24"/>
        <w14:textFill>
          <w14:solidFill>
            <w14:schemeClr w14:val="tx1"/>
          </w14:solidFill>
        </w14:textFill>
      </w:rPr>
      <w:t>期</w:t>
    </w:r>
    <w:r>
      <w:rPr>
        <w:rFonts w:hint="default" w:ascii="Times New Roman" w:hAnsi="Times New Roman" w:eastAsia="华文中宋" w:cs="Times New Roman"/>
        <w:color w:val="000000" w:themeColor="text1"/>
        <w:sz w:val="26"/>
        <w:szCs w:val="24"/>
        <w14:textFill>
          <w14:solidFill>
            <w14:schemeClr w14:val="tx1"/>
          </w14:solidFill>
        </w14:textFill>
      </w:rPr>
      <w:t xml:space="preserve">  原平市人民政府公报</w:t>
    </w:r>
  </w:p>
  <w:p>
    <w:pPr>
      <w:pStyle w:val="15"/>
      <w:keepNext w:val="0"/>
      <w:keepLines w:val="0"/>
      <w:pageBreakBefore w:val="0"/>
      <w:widowControl w:val="0"/>
      <w:pBdr>
        <w:bottom w:val="none" w:color="auto" w:sz="0" w:space="1"/>
      </w:pBdr>
      <w:kinsoku/>
      <w:wordWrap/>
      <w:overflowPunct/>
      <w:topLinePunct w:val="0"/>
      <w:bidi w:val="0"/>
      <w:spacing w:line="240" w:lineRule="auto"/>
      <w:rPr>
        <w:rFonts w:hint="default" w:ascii="Times New Roman" w:hAnsi="Times New Roman" w:cs="Times New Roman"/>
        <w:color w:val="FF0000"/>
      </w:rPr>
    </w:pPr>
    <w:r>
      <w:rPr>
        <w:rFonts w:hint="default" w:ascii="Times New Roman" w:hAnsi="Times New Roman" w:cs="Times New Roman"/>
        <w:color w:val="FF0000"/>
        <w:sz w:val="18"/>
      </w:rPr>
      <mc:AlternateContent>
        <mc:Choice Requires="wps">
          <w:drawing>
            <wp:anchor distT="0" distB="0" distL="114300" distR="114300" simplePos="0" relativeHeight="251669504" behindDoc="0" locked="0" layoutInCell="1" allowOverlap="1">
              <wp:simplePos x="0" y="0"/>
              <wp:positionH relativeFrom="column">
                <wp:posOffset>-12065</wp:posOffset>
              </wp:positionH>
              <wp:positionV relativeFrom="paragraph">
                <wp:posOffset>18415</wp:posOffset>
              </wp:positionV>
              <wp:extent cx="6008370" cy="635"/>
              <wp:effectExtent l="0" t="11430" r="11430" b="16510"/>
              <wp:wrapNone/>
              <wp:docPr id="4" name="直接连接符 4"/>
              <wp:cNvGraphicFramePr/>
              <a:graphic xmlns:a="http://schemas.openxmlformats.org/drawingml/2006/main">
                <a:graphicData uri="http://schemas.microsoft.com/office/word/2010/wordprocessingShape">
                  <wps:wsp>
                    <wps:cNvCnPr/>
                    <wps:spPr>
                      <a:xfrm flipV="1">
                        <a:off x="892810" y="931545"/>
                        <a:ext cx="6008370" cy="635"/>
                      </a:xfrm>
                      <a:prstGeom prst="line">
                        <a:avLst/>
                      </a:prstGeom>
                      <a:ln w="2286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0.95pt;margin-top:1.45pt;height:0.05pt;width:473.1pt;z-index:251669504;mso-width-relative:page;mso-height-relative:page;" filled="f" stroked="t" coordsize="21600,21600" o:gfxdata="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JIC2tYAAAAGAQAADwAAAAAAAAABACAAAAAiAAAAZHJzL2Rvd25yZXYueG1s&#10;UEsBAhQAFAAAAAgAh07iQDH0Kiv6AQAAyAMAAA4AAAAAAAAAAQAgAAAAJQEAAGRycy9lMm9Eb2Mu&#10;eG1sUEsFBgAAAAAGAAYAWQEAAJEFAAAAAA==&#10;">
              <v:fill on="f" focussize="0,0"/>
              <v:stroke weight="1.8pt" color="#000000 [3213]" miterlimit="8" joinstyle="miter"/>
              <v:imagedata o:title=""/>
              <o:lock v:ext="edit" aspectratio="f"/>
            </v: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keepNext w:val="0"/>
      <w:keepLines w:val="0"/>
      <w:pageBreakBefore w:val="0"/>
      <w:widowControl w:val="0"/>
      <w:pBdr>
        <w:bottom w:val="none" w:color="auto" w:sz="0" w:space="0"/>
      </w:pBdr>
      <w:kinsoku/>
      <w:wordWrap/>
      <w:overflowPunct/>
      <w:topLinePunct w:val="0"/>
      <w:bidi w:val="0"/>
      <w:spacing w:beforeLines="0" w:afterLines="0" w:line="240" w:lineRule="auto"/>
      <w:ind w:leftChars="2100"/>
      <w:jc w:val="left"/>
      <w:rPr>
        <w:rFonts w:hint="default" w:ascii="Times New Roman" w:hAnsi="Times New Roman" w:eastAsia="华文中宋" w:cs="Times New Roman"/>
        <w:color w:val="000000" w:themeColor="text1"/>
        <w:sz w:val="26"/>
        <w:szCs w:val="24"/>
        <w14:textFill>
          <w14:solidFill>
            <w14:schemeClr w14:val="tx1"/>
          </w14:solidFill>
        </w14:textFill>
      </w:rPr>
    </w:pPr>
    <w:r>
      <w:rPr>
        <w:rFonts w:hint="default" w:ascii="Times New Roman" w:hAnsi="Times New Roman" w:eastAsia="方正大标宋简体" w:cs="Times New Roman"/>
        <w:i/>
        <w:iCs/>
        <w:color w:val="000000" w:themeColor="text1"/>
        <w:sz w:val="26"/>
        <w:szCs w:val="24"/>
        <w14:textFill>
          <w14:solidFill>
            <w14:schemeClr w14:val="tx1"/>
          </w14:solidFill>
        </w14:textFill>
      </w:rPr>
      <w:t>2022</w:t>
    </w:r>
    <w:r>
      <w:rPr>
        <w:rFonts w:hint="default" w:ascii="Times New Roman" w:hAnsi="Times New Roman" w:eastAsia="方正大标宋简体" w:cs="Times New Roman"/>
        <w:i/>
        <w:iCs/>
        <w:color w:val="000000" w:themeColor="text1"/>
        <w:sz w:val="26"/>
        <w:szCs w:val="24"/>
        <w:lang w:val="en-US" w:eastAsia="zh-CN"/>
        <w14:textFill>
          <w14:solidFill>
            <w14:schemeClr w14:val="tx1"/>
          </w14:solidFill>
        </w14:textFill>
      </w:rPr>
      <w:t xml:space="preserve"> </w:t>
    </w:r>
    <w:r>
      <w:rPr>
        <w:rFonts w:hint="default" w:ascii="Times New Roman" w:hAnsi="Times New Roman" w:eastAsia="华文中宋" w:cs="Times New Roman"/>
        <w:color w:val="000000" w:themeColor="text1"/>
        <w:spacing w:val="-31"/>
        <w:sz w:val="26"/>
        <w:szCs w:val="24"/>
        <w14:textFill>
          <w14:solidFill>
            <w14:schemeClr w14:val="tx1"/>
          </w14:solidFill>
        </w14:textFill>
      </w:rPr>
      <w:t>年 第</w:t>
    </w:r>
    <w:r>
      <w:rPr>
        <w:rFonts w:hint="default" w:ascii="Times New Roman" w:hAnsi="Times New Roman" w:eastAsia="华文中宋" w:cs="Times New Roman"/>
        <w:color w:val="000000" w:themeColor="text1"/>
        <w:spacing w:val="-31"/>
        <w:sz w:val="26"/>
        <w:szCs w:val="24"/>
        <w:lang w:val="en-US" w:eastAsia="zh-CN"/>
        <w14:textFill>
          <w14:solidFill>
            <w14:schemeClr w14:val="tx1"/>
          </w14:solidFill>
        </w14:textFill>
      </w:rPr>
      <w:t xml:space="preserve"> </w:t>
    </w:r>
    <w:r>
      <w:rPr>
        <w:rFonts w:hint="eastAsia" w:ascii="Times New Roman" w:hAnsi="Times New Roman" w:eastAsia="方正大标宋简体" w:cs="Times New Roman"/>
        <w:color w:val="000000" w:themeColor="text1"/>
        <w:spacing w:val="-31"/>
        <w:sz w:val="26"/>
        <w:szCs w:val="24"/>
        <w:lang w:val="en-US" w:eastAsia="zh-CN"/>
        <w14:textFill>
          <w14:solidFill>
            <w14:schemeClr w14:val="tx1"/>
          </w14:solidFill>
        </w14:textFill>
      </w:rPr>
      <w:t>4</w:t>
    </w:r>
    <w:r>
      <w:rPr>
        <w:rFonts w:hint="default" w:ascii="Times New Roman" w:hAnsi="Times New Roman" w:eastAsia="方正大标宋简体" w:cs="Times New Roman"/>
        <w:color w:val="000000" w:themeColor="text1"/>
        <w:spacing w:val="-31"/>
        <w:sz w:val="26"/>
        <w:szCs w:val="24"/>
        <w:lang w:val="en-US" w:eastAsia="zh-CN"/>
        <w14:textFill>
          <w14:solidFill>
            <w14:schemeClr w14:val="tx1"/>
          </w14:solidFill>
        </w14:textFill>
      </w:rPr>
      <w:t xml:space="preserve"> </w:t>
    </w:r>
    <w:r>
      <w:rPr>
        <w:rFonts w:hint="default" w:ascii="Times New Roman" w:hAnsi="Times New Roman" w:eastAsia="华文中宋" w:cs="Times New Roman"/>
        <w:color w:val="000000" w:themeColor="text1"/>
        <w:spacing w:val="-31"/>
        <w:sz w:val="26"/>
        <w:szCs w:val="24"/>
        <w14:textFill>
          <w14:solidFill>
            <w14:schemeClr w14:val="tx1"/>
          </w14:solidFill>
        </w14:textFill>
      </w:rPr>
      <w:t>期</w:t>
    </w:r>
    <w:r>
      <w:rPr>
        <w:rFonts w:hint="default" w:ascii="Times New Roman" w:hAnsi="Times New Roman" w:eastAsia="华文中宋" w:cs="Times New Roman"/>
        <w:color w:val="000000" w:themeColor="text1"/>
        <w:sz w:val="26"/>
        <w:szCs w:val="24"/>
        <w14:textFill>
          <w14:solidFill>
            <w14:schemeClr w14:val="tx1"/>
          </w14:solidFill>
        </w14:textFill>
      </w:rPr>
      <w:t xml:space="preserve">  原平市人民政府公报</w:t>
    </w:r>
  </w:p>
  <w:p>
    <w:pPr>
      <w:pStyle w:val="15"/>
      <w:keepNext w:val="0"/>
      <w:keepLines w:val="0"/>
      <w:pageBreakBefore w:val="0"/>
      <w:widowControl w:val="0"/>
      <w:pBdr>
        <w:bottom w:val="none" w:color="auto" w:sz="0" w:space="1"/>
      </w:pBdr>
      <w:kinsoku/>
      <w:wordWrap/>
      <w:overflowPunct/>
      <w:topLinePunct w:val="0"/>
      <w:bidi w:val="0"/>
      <w:spacing w:line="240" w:lineRule="auto"/>
      <w:rPr>
        <w:rFonts w:hint="default" w:ascii="Times New Roman" w:hAnsi="Times New Roman" w:cs="Times New Roman"/>
        <w:color w:val="FF0000"/>
      </w:rPr>
    </w:pPr>
    <w:r>
      <w:rPr>
        <w:rFonts w:hint="default" w:ascii="Times New Roman" w:hAnsi="Times New Roman" w:cs="Times New Roman"/>
        <w:color w:val="FF0000"/>
        <w:sz w:val="18"/>
      </w:rPr>
      <mc:AlternateContent>
        <mc:Choice Requires="wps">
          <w:drawing>
            <wp:anchor distT="0" distB="0" distL="114300" distR="114300" simplePos="0" relativeHeight="251659264" behindDoc="0" locked="0" layoutInCell="1" allowOverlap="1">
              <wp:simplePos x="0" y="0"/>
              <wp:positionH relativeFrom="column">
                <wp:posOffset>-12065</wp:posOffset>
              </wp:positionH>
              <wp:positionV relativeFrom="paragraph">
                <wp:posOffset>18415</wp:posOffset>
              </wp:positionV>
              <wp:extent cx="6008370" cy="635"/>
              <wp:effectExtent l="0" t="11430" r="11430" b="16510"/>
              <wp:wrapNone/>
              <wp:docPr id="10" name="直接连接符 10"/>
              <wp:cNvGraphicFramePr/>
              <a:graphic xmlns:a="http://schemas.openxmlformats.org/drawingml/2006/main">
                <a:graphicData uri="http://schemas.microsoft.com/office/word/2010/wordprocessingShape">
                  <wps:wsp>
                    <wps:cNvCnPr/>
                    <wps:spPr>
                      <a:xfrm flipV="1">
                        <a:off x="892810" y="931545"/>
                        <a:ext cx="6008370" cy="635"/>
                      </a:xfrm>
                      <a:prstGeom prst="line">
                        <a:avLst/>
                      </a:prstGeom>
                      <a:ln w="2286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0.95pt;margin-top:1.45pt;height:0.05pt;width:473.1pt;z-index:251659264;mso-width-relative:page;mso-height-relative:page;" filled="f" stroked="t" coordsize="21600,21600" o:gfxdata="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8kgLa1gAAAAYBAAAPAAAAAAAAAAEAIAAAACIAAABkcnMvZG93bnJldi54bWxQ&#10;SwECFAAUAAAACACHTuJA99Ov6PkBAADKAwAADgAAAAAAAAABACAAAAAlAQAAZHJzL2Uyb0RvYy54&#10;bWxQSwUGAAAAAAYABgBZAQAAkAUAAAAA&#10;">
              <v:fill on="f" focussize="0,0"/>
              <v:stroke weight="1.8pt" color="#000000 [3213]" miterlimit="8" joinstyle="miter"/>
              <v:imagedata o:title=""/>
              <o:lock v:ext="edit" aspectratio="f"/>
            </v: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keepNext w:val="0"/>
      <w:keepLines w:val="0"/>
      <w:pageBreakBefore w:val="0"/>
      <w:widowControl w:val="0"/>
      <w:pBdr>
        <w:bottom w:val="none" w:color="auto" w:sz="0" w:space="0"/>
      </w:pBdr>
      <w:kinsoku/>
      <w:wordWrap/>
      <w:overflowPunct/>
      <w:topLinePunct w:val="0"/>
      <w:bidi w:val="0"/>
      <w:spacing w:beforeLines="0" w:afterLines="0" w:line="240" w:lineRule="auto"/>
      <w:ind w:left="240" w:leftChars="100"/>
      <w:jc w:val="left"/>
      <w:rPr>
        <w:rFonts w:hint="default" w:ascii="Times New Roman" w:hAnsi="Times New Roman" w:eastAsia="华文中宋" w:cs="Times New Roman"/>
        <w:color w:val="000000" w:themeColor="text1"/>
        <w:sz w:val="26"/>
        <w:szCs w:val="24"/>
        <w14:textFill>
          <w14:solidFill>
            <w14:schemeClr w14:val="tx1"/>
          </w14:solidFill>
        </w14:textFill>
      </w:rPr>
    </w:pPr>
    <w:r>
      <w:rPr>
        <w:rFonts w:hint="default" w:ascii="Times New Roman" w:hAnsi="Times New Roman" w:eastAsia="方正大标宋简体" w:cs="Times New Roman"/>
        <w:i/>
        <w:iCs/>
        <w:color w:val="000000" w:themeColor="text1"/>
        <w:sz w:val="26"/>
        <w:szCs w:val="24"/>
        <w14:textFill>
          <w14:solidFill>
            <w14:schemeClr w14:val="tx1"/>
          </w14:solidFill>
        </w14:textFill>
      </w:rPr>
      <w:t>2022</w:t>
    </w:r>
    <w:r>
      <w:rPr>
        <w:rFonts w:hint="default" w:ascii="Times New Roman" w:hAnsi="Times New Roman" w:eastAsia="方正大标宋简体" w:cs="Times New Roman"/>
        <w:i/>
        <w:iCs/>
        <w:color w:val="000000" w:themeColor="text1"/>
        <w:sz w:val="26"/>
        <w:szCs w:val="24"/>
        <w:lang w:val="en-US" w:eastAsia="zh-CN"/>
        <w14:textFill>
          <w14:solidFill>
            <w14:schemeClr w14:val="tx1"/>
          </w14:solidFill>
        </w14:textFill>
      </w:rPr>
      <w:t xml:space="preserve"> </w:t>
    </w:r>
    <w:r>
      <w:rPr>
        <w:rFonts w:hint="default" w:ascii="Times New Roman" w:hAnsi="Times New Roman" w:eastAsia="华文中宋" w:cs="Times New Roman"/>
        <w:color w:val="000000" w:themeColor="text1"/>
        <w:spacing w:val="-31"/>
        <w:sz w:val="26"/>
        <w:szCs w:val="24"/>
        <w14:textFill>
          <w14:solidFill>
            <w14:schemeClr w14:val="tx1"/>
          </w14:solidFill>
        </w14:textFill>
      </w:rPr>
      <w:t>年 第</w:t>
    </w:r>
    <w:r>
      <w:rPr>
        <w:rFonts w:hint="default" w:ascii="Times New Roman" w:hAnsi="Times New Roman" w:eastAsia="华文中宋" w:cs="Times New Roman"/>
        <w:color w:val="000000" w:themeColor="text1"/>
        <w:spacing w:val="-31"/>
        <w:sz w:val="26"/>
        <w:szCs w:val="24"/>
        <w:lang w:val="en-US" w:eastAsia="zh-CN"/>
        <w14:textFill>
          <w14:solidFill>
            <w14:schemeClr w14:val="tx1"/>
          </w14:solidFill>
        </w14:textFill>
      </w:rPr>
      <w:t xml:space="preserve"> </w:t>
    </w:r>
    <w:r>
      <w:rPr>
        <w:rFonts w:hint="eastAsia" w:ascii="Times New Roman" w:hAnsi="Times New Roman" w:eastAsia="方正大标宋简体" w:cs="Times New Roman"/>
        <w:color w:val="000000" w:themeColor="text1"/>
        <w:spacing w:val="-31"/>
        <w:sz w:val="26"/>
        <w:szCs w:val="24"/>
        <w:lang w:val="en-US" w:eastAsia="zh-CN"/>
        <w14:textFill>
          <w14:solidFill>
            <w14:schemeClr w14:val="tx1"/>
          </w14:solidFill>
        </w14:textFill>
      </w:rPr>
      <w:t>4</w:t>
    </w:r>
    <w:r>
      <w:rPr>
        <w:rFonts w:hint="default" w:ascii="Times New Roman" w:hAnsi="Times New Roman" w:eastAsia="方正大标宋简体" w:cs="Times New Roman"/>
        <w:color w:val="000000" w:themeColor="text1"/>
        <w:spacing w:val="-31"/>
        <w:sz w:val="26"/>
        <w:szCs w:val="24"/>
        <w:lang w:val="en-US" w:eastAsia="zh-CN"/>
        <w14:textFill>
          <w14:solidFill>
            <w14:schemeClr w14:val="tx1"/>
          </w14:solidFill>
        </w14:textFill>
      </w:rPr>
      <w:t xml:space="preserve"> </w:t>
    </w:r>
    <w:r>
      <w:rPr>
        <w:rFonts w:hint="default" w:ascii="Times New Roman" w:hAnsi="Times New Roman" w:eastAsia="华文中宋" w:cs="Times New Roman"/>
        <w:color w:val="000000" w:themeColor="text1"/>
        <w:spacing w:val="-31"/>
        <w:sz w:val="26"/>
        <w:szCs w:val="24"/>
        <w14:textFill>
          <w14:solidFill>
            <w14:schemeClr w14:val="tx1"/>
          </w14:solidFill>
        </w14:textFill>
      </w:rPr>
      <w:t>期</w:t>
    </w:r>
    <w:r>
      <w:rPr>
        <w:rFonts w:hint="default" w:ascii="Times New Roman" w:hAnsi="Times New Roman" w:eastAsia="华文中宋" w:cs="Times New Roman"/>
        <w:color w:val="000000" w:themeColor="text1"/>
        <w:sz w:val="26"/>
        <w:szCs w:val="24"/>
        <w14:textFill>
          <w14:solidFill>
            <w14:schemeClr w14:val="tx1"/>
          </w14:solidFill>
        </w14:textFill>
      </w:rPr>
      <w:t xml:space="preserve">  原平市人民政府公报</w:t>
    </w:r>
  </w:p>
  <w:p>
    <w:pPr>
      <w:pStyle w:val="15"/>
      <w:keepNext w:val="0"/>
      <w:keepLines w:val="0"/>
      <w:pageBreakBefore w:val="0"/>
      <w:widowControl w:val="0"/>
      <w:pBdr>
        <w:bottom w:val="none" w:color="auto" w:sz="0" w:space="1"/>
      </w:pBdr>
      <w:kinsoku/>
      <w:wordWrap/>
      <w:overflowPunct/>
      <w:topLinePunct w:val="0"/>
      <w:bidi w:val="0"/>
      <w:spacing w:line="240" w:lineRule="auto"/>
      <w:ind w:left="0" w:leftChars="0" w:firstLine="0" w:firstLineChars="0"/>
    </w:pPr>
    <w:r>
      <w:rPr>
        <w:rFonts w:hint="default" w:ascii="Times New Roman" w:hAnsi="Times New Roman" w:cs="Times New Roman"/>
        <w:color w:val="FF0000"/>
        <w:sz w:val="18"/>
      </w:rPr>
      <mc:AlternateContent>
        <mc:Choice Requires="wps">
          <w:drawing>
            <wp:anchor distT="0" distB="0" distL="114300" distR="114300" simplePos="0" relativeHeight="251660288" behindDoc="0" locked="0" layoutInCell="1" allowOverlap="1">
              <wp:simplePos x="0" y="0"/>
              <wp:positionH relativeFrom="column">
                <wp:posOffset>-12065</wp:posOffset>
              </wp:positionH>
              <wp:positionV relativeFrom="paragraph">
                <wp:posOffset>18415</wp:posOffset>
              </wp:positionV>
              <wp:extent cx="6008370" cy="635"/>
              <wp:effectExtent l="0" t="11430" r="11430" b="16510"/>
              <wp:wrapNone/>
              <wp:docPr id="15" name="直接连接符 15"/>
              <wp:cNvGraphicFramePr/>
              <a:graphic xmlns:a="http://schemas.openxmlformats.org/drawingml/2006/main">
                <a:graphicData uri="http://schemas.microsoft.com/office/word/2010/wordprocessingShape">
                  <wps:wsp>
                    <wps:cNvCnPr/>
                    <wps:spPr>
                      <a:xfrm flipV="1">
                        <a:off x="892810" y="931545"/>
                        <a:ext cx="6008370" cy="635"/>
                      </a:xfrm>
                      <a:prstGeom prst="line">
                        <a:avLst/>
                      </a:prstGeom>
                      <a:ln w="2286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0.95pt;margin-top:1.45pt;height:0.05pt;width:473.1pt;z-index:251660288;mso-width-relative:page;mso-height-relative:page;" filled="f" stroked="t" coordsize="21600,21600" o:gfxdata="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JIC2tYAAAAGAQAADwAAAAAAAAABACAAAAAiAAAAZHJzL2Rvd25yZXYueG1s&#10;UEsBAhQAFAAAAAgAh07iQJ3PHb36AQAAygMAAA4AAAAAAAAAAQAgAAAAJQEAAGRycy9lMm9Eb2Mu&#10;eG1sUEsFBgAAAAAGAAYAWQEAAJEFAAAAAA==&#10;">
              <v:fill on="f" focussize="0,0"/>
              <v:stroke weight="1.8pt" color="#000000 [3213]" miterlimit="8" joinstyle="miter"/>
              <v:imagedata o:title=""/>
              <o:lock v:ext="edit" aspectratio="f"/>
            </v: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keepNext w:val="0"/>
      <w:keepLines w:val="0"/>
      <w:pageBreakBefore w:val="0"/>
      <w:widowControl w:val="0"/>
      <w:pBdr>
        <w:bottom w:val="none" w:color="auto" w:sz="0" w:space="0"/>
      </w:pBdr>
      <w:kinsoku/>
      <w:wordWrap/>
      <w:overflowPunct/>
      <w:topLinePunct w:val="0"/>
      <w:bidi w:val="0"/>
      <w:spacing w:beforeLines="0" w:afterLines="0" w:line="240" w:lineRule="auto"/>
      <w:ind w:left="240" w:leftChars="100"/>
      <w:jc w:val="left"/>
      <w:rPr>
        <w:rFonts w:hint="default" w:ascii="Times New Roman" w:hAnsi="Times New Roman" w:eastAsia="华文中宋" w:cs="Times New Roman"/>
        <w:color w:val="000000" w:themeColor="text1"/>
        <w:sz w:val="26"/>
        <w:szCs w:val="24"/>
        <w14:textFill>
          <w14:solidFill>
            <w14:schemeClr w14:val="tx1"/>
          </w14:solidFill>
        </w14:textFill>
      </w:rPr>
    </w:pPr>
    <w:r>
      <w:rPr>
        <w:rFonts w:hint="default" w:ascii="Times New Roman" w:hAnsi="Times New Roman" w:eastAsia="方正大标宋简体" w:cs="Times New Roman"/>
        <w:i/>
        <w:iCs/>
        <w:color w:val="000000" w:themeColor="text1"/>
        <w:sz w:val="26"/>
        <w:szCs w:val="24"/>
        <w14:textFill>
          <w14:solidFill>
            <w14:schemeClr w14:val="tx1"/>
          </w14:solidFill>
        </w14:textFill>
      </w:rPr>
      <w:t>2022</w:t>
    </w:r>
    <w:r>
      <w:rPr>
        <w:rFonts w:hint="default" w:ascii="Times New Roman" w:hAnsi="Times New Roman" w:eastAsia="方正大标宋简体" w:cs="Times New Roman"/>
        <w:i/>
        <w:iCs/>
        <w:color w:val="000000" w:themeColor="text1"/>
        <w:sz w:val="26"/>
        <w:szCs w:val="24"/>
        <w:lang w:val="en-US" w:eastAsia="zh-CN"/>
        <w14:textFill>
          <w14:solidFill>
            <w14:schemeClr w14:val="tx1"/>
          </w14:solidFill>
        </w14:textFill>
      </w:rPr>
      <w:t xml:space="preserve"> </w:t>
    </w:r>
    <w:r>
      <w:rPr>
        <w:rFonts w:hint="default" w:ascii="Times New Roman" w:hAnsi="Times New Roman" w:eastAsia="华文中宋" w:cs="Times New Roman"/>
        <w:color w:val="000000" w:themeColor="text1"/>
        <w:spacing w:val="-31"/>
        <w:sz w:val="26"/>
        <w:szCs w:val="24"/>
        <w14:textFill>
          <w14:solidFill>
            <w14:schemeClr w14:val="tx1"/>
          </w14:solidFill>
        </w14:textFill>
      </w:rPr>
      <w:t>年 第</w:t>
    </w:r>
    <w:r>
      <w:rPr>
        <w:rFonts w:hint="default" w:ascii="Times New Roman" w:hAnsi="Times New Roman" w:eastAsia="华文中宋" w:cs="Times New Roman"/>
        <w:color w:val="000000" w:themeColor="text1"/>
        <w:spacing w:val="-31"/>
        <w:sz w:val="26"/>
        <w:szCs w:val="24"/>
        <w:lang w:val="en-US" w:eastAsia="zh-CN"/>
        <w14:textFill>
          <w14:solidFill>
            <w14:schemeClr w14:val="tx1"/>
          </w14:solidFill>
        </w14:textFill>
      </w:rPr>
      <w:t xml:space="preserve"> </w:t>
    </w:r>
    <w:r>
      <w:rPr>
        <w:rFonts w:hint="eastAsia" w:ascii="Times New Roman" w:hAnsi="Times New Roman" w:eastAsia="方正大标宋简体" w:cs="Times New Roman"/>
        <w:color w:val="000000" w:themeColor="text1"/>
        <w:spacing w:val="-31"/>
        <w:sz w:val="26"/>
        <w:szCs w:val="24"/>
        <w:lang w:val="en-US" w:eastAsia="zh-CN"/>
        <w14:textFill>
          <w14:solidFill>
            <w14:schemeClr w14:val="tx1"/>
          </w14:solidFill>
        </w14:textFill>
      </w:rPr>
      <w:t>4</w:t>
    </w:r>
    <w:r>
      <w:rPr>
        <w:rFonts w:hint="default" w:ascii="Times New Roman" w:hAnsi="Times New Roman" w:eastAsia="方正大标宋简体" w:cs="Times New Roman"/>
        <w:color w:val="000000" w:themeColor="text1"/>
        <w:spacing w:val="-31"/>
        <w:sz w:val="26"/>
        <w:szCs w:val="24"/>
        <w:lang w:val="en-US" w:eastAsia="zh-CN"/>
        <w14:textFill>
          <w14:solidFill>
            <w14:schemeClr w14:val="tx1"/>
          </w14:solidFill>
        </w14:textFill>
      </w:rPr>
      <w:t xml:space="preserve"> </w:t>
    </w:r>
    <w:r>
      <w:rPr>
        <w:rFonts w:hint="default" w:ascii="Times New Roman" w:hAnsi="Times New Roman" w:eastAsia="华文中宋" w:cs="Times New Roman"/>
        <w:color w:val="000000" w:themeColor="text1"/>
        <w:spacing w:val="-31"/>
        <w:sz w:val="26"/>
        <w:szCs w:val="24"/>
        <w14:textFill>
          <w14:solidFill>
            <w14:schemeClr w14:val="tx1"/>
          </w14:solidFill>
        </w14:textFill>
      </w:rPr>
      <w:t>期</w:t>
    </w:r>
    <w:r>
      <w:rPr>
        <w:rFonts w:hint="default" w:ascii="Times New Roman" w:hAnsi="Times New Roman" w:eastAsia="华文中宋" w:cs="Times New Roman"/>
        <w:color w:val="000000" w:themeColor="text1"/>
        <w:sz w:val="26"/>
        <w:szCs w:val="24"/>
        <w14:textFill>
          <w14:solidFill>
            <w14:schemeClr w14:val="tx1"/>
          </w14:solidFill>
        </w14:textFill>
      </w:rPr>
      <w:t xml:space="preserve">  原平市人民政府公报</w:t>
    </w:r>
  </w:p>
  <w:p>
    <w:pPr>
      <w:pStyle w:val="15"/>
      <w:keepNext w:val="0"/>
      <w:keepLines w:val="0"/>
      <w:pageBreakBefore w:val="0"/>
      <w:widowControl w:val="0"/>
      <w:pBdr>
        <w:bottom w:val="none" w:color="auto" w:sz="0" w:space="1"/>
      </w:pBdr>
      <w:kinsoku/>
      <w:wordWrap/>
      <w:overflowPunct/>
      <w:topLinePunct w:val="0"/>
      <w:bidi w:val="0"/>
      <w:spacing w:line="240" w:lineRule="auto"/>
      <w:ind w:left="0" w:leftChars="0" w:firstLine="0" w:firstLineChars="0"/>
    </w:pPr>
    <w:r>
      <w:rPr>
        <w:rFonts w:hint="default" w:ascii="Times New Roman" w:hAnsi="Times New Roman" w:cs="Times New Roman"/>
        <w:color w:val="FF0000"/>
        <w:sz w:val="18"/>
      </w:rPr>
      <mc:AlternateContent>
        <mc:Choice Requires="wps">
          <w:drawing>
            <wp:anchor distT="0" distB="0" distL="114300" distR="114300" simplePos="0" relativeHeight="251665408" behindDoc="0" locked="0" layoutInCell="1" allowOverlap="1">
              <wp:simplePos x="0" y="0"/>
              <wp:positionH relativeFrom="column">
                <wp:posOffset>-12065</wp:posOffset>
              </wp:positionH>
              <wp:positionV relativeFrom="paragraph">
                <wp:posOffset>18415</wp:posOffset>
              </wp:positionV>
              <wp:extent cx="6008370" cy="635"/>
              <wp:effectExtent l="0" t="11430" r="11430" b="16510"/>
              <wp:wrapNone/>
              <wp:docPr id="1" name="直接连接符 1"/>
              <wp:cNvGraphicFramePr/>
              <a:graphic xmlns:a="http://schemas.openxmlformats.org/drawingml/2006/main">
                <a:graphicData uri="http://schemas.microsoft.com/office/word/2010/wordprocessingShape">
                  <wps:wsp>
                    <wps:cNvCnPr/>
                    <wps:spPr>
                      <a:xfrm flipV="1">
                        <a:off x="892810" y="931545"/>
                        <a:ext cx="6008370" cy="635"/>
                      </a:xfrm>
                      <a:prstGeom prst="line">
                        <a:avLst/>
                      </a:prstGeom>
                      <a:ln w="2286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0.95pt;margin-top:1.45pt;height:0.05pt;width:473.1pt;z-index:251665408;mso-width-relative:page;mso-height-relative:page;" filled="f" stroked="t" coordsize="21600,21600" o:gfxdata="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ySAtrWAAAABgEAAA8AAAAAAAAAAQAgAAAAIgAAAGRycy9kb3ducmV2LnhtbFBL&#10;AQIUABQAAAAIAIdO4kB/wUc7+AEAAMgDAAAOAAAAAAAAAAEAIAAAACUBAABkcnMvZTJvRG9jLnht&#10;bFBLBQYAAAAABgAGAFkBAACPBQAAAAA=&#10;">
              <v:fill on="f" focussize="0,0"/>
              <v:stroke weight="1.8pt" color="#000000 [3213]" miterlimit="8" joinstyle="miter"/>
              <v:imagedata o:title=""/>
              <o:lock v:ext="edit" aspectratio="f"/>
            </v:lin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keepNext w:val="0"/>
      <w:keepLines w:val="0"/>
      <w:pageBreakBefore w:val="0"/>
      <w:widowControl w:val="0"/>
      <w:pBdr>
        <w:bottom w:val="none" w:color="auto" w:sz="0" w:space="0"/>
      </w:pBdr>
      <w:kinsoku/>
      <w:wordWrap/>
      <w:overflowPunct/>
      <w:topLinePunct w:val="0"/>
      <w:bidi w:val="0"/>
      <w:spacing w:beforeLines="0" w:afterLines="0" w:line="240" w:lineRule="auto"/>
      <w:ind w:left="240" w:leftChars="100"/>
      <w:jc w:val="left"/>
      <w:rPr>
        <w:rFonts w:hint="default" w:ascii="Times New Roman" w:hAnsi="Times New Roman" w:eastAsia="华文中宋" w:cs="Times New Roman"/>
        <w:color w:val="000000" w:themeColor="text1"/>
        <w:sz w:val="26"/>
        <w:szCs w:val="24"/>
        <w14:textFill>
          <w14:solidFill>
            <w14:schemeClr w14:val="tx1"/>
          </w14:solidFill>
        </w14:textFill>
      </w:rPr>
    </w:pPr>
    <w:r>
      <w:rPr>
        <w:rFonts w:hint="default" w:ascii="Times New Roman" w:hAnsi="Times New Roman" w:eastAsia="方正大标宋简体" w:cs="Times New Roman"/>
        <w:i/>
        <w:iCs/>
        <w:color w:val="000000" w:themeColor="text1"/>
        <w:sz w:val="26"/>
        <w:szCs w:val="24"/>
        <w14:textFill>
          <w14:solidFill>
            <w14:schemeClr w14:val="tx1"/>
          </w14:solidFill>
        </w14:textFill>
      </w:rPr>
      <w:t>2022</w:t>
    </w:r>
    <w:r>
      <w:rPr>
        <w:rFonts w:hint="default" w:ascii="Times New Roman" w:hAnsi="Times New Roman" w:eastAsia="方正大标宋简体" w:cs="Times New Roman"/>
        <w:i/>
        <w:iCs/>
        <w:color w:val="000000" w:themeColor="text1"/>
        <w:sz w:val="26"/>
        <w:szCs w:val="24"/>
        <w:lang w:val="en-US" w:eastAsia="zh-CN"/>
        <w14:textFill>
          <w14:solidFill>
            <w14:schemeClr w14:val="tx1"/>
          </w14:solidFill>
        </w14:textFill>
      </w:rPr>
      <w:t xml:space="preserve"> </w:t>
    </w:r>
    <w:r>
      <w:rPr>
        <w:rFonts w:hint="default" w:ascii="Times New Roman" w:hAnsi="Times New Roman" w:eastAsia="华文中宋" w:cs="Times New Roman"/>
        <w:color w:val="000000" w:themeColor="text1"/>
        <w:spacing w:val="-31"/>
        <w:sz w:val="26"/>
        <w:szCs w:val="24"/>
        <w14:textFill>
          <w14:solidFill>
            <w14:schemeClr w14:val="tx1"/>
          </w14:solidFill>
        </w14:textFill>
      </w:rPr>
      <w:t>年 第</w:t>
    </w:r>
    <w:r>
      <w:rPr>
        <w:rFonts w:hint="default" w:ascii="Times New Roman" w:hAnsi="Times New Roman" w:eastAsia="华文中宋" w:cs="Times New Roman"/>
        <w:color w:val="000000" w:themeColor="text1"/>
        <w:spacing w:val="-31"/>
        <w:sz w:val="26"/>
        <w:szCs w:val="24"/>
        <w:lang w:val="en-US" w:eastAsia="zh-CN"/>
        <w14:textFill>
          <w14:solidFill>
            <w14:schemeClr w14:val="tx1"/>
          </w14:solidFill>
        </w14:textFill>
      </w:rPr>
      <w:t xml:space="preserve"> </w:t>
    </w:r>
    <w:r>
      <w:rPr>
        <w:rFonts w:hint="eastAsia" w:ascii="Times New Roman" w:hAnsi="Times New Roman" w:eastAsia="方正大标宋简体" w:cs="Times New Roman"/>
        <w:color w:val="000000" w:themeColor="text1"/>
        <w:spacing w:val="-31"/>
        <w:sz w:val="26"/>
        <w:szCs w:val="24"/>
        <w:lang w:val="en-US" w:eastAsia="zh-CN"/>
        <w14:textFill>
          <w14:solidFill>
            <w14:schemeClr w14:val="tx1"/>
          </w14:solidFill>
        </w14:textFill>
      </w:rPr>
      <w:t>4</w:t>
    </w:r>
    <w:r>
      <w:rPr>
        <w:rFonts w:hint="default" w:ascii="Times New Roman" w:hAnsi="Times New Roman" w:eastAsia="方正大标宋简体" w:cs="Times New Roman"/>
        <w:color w:val="000000" w:themeColor="text1"/>
        <w:spacing w:val="-31"/>
        <w:sz w:val="26"/>
        <w:szCs w:val="24"/>
        <w:lang w:val="en-US" w:eastAsia="zh-CN"/>
        <w14:textFill>
          <w14:solidFill>
            <w14:schemeClr w14:val="tx1"/>
          </w14:solidFill>
        </w14:textFill>
      </w:rPr>
      <w:t xml:space="preserve"> </w:t>
    </w:r>
    <w:r>
      <w:rPr>
        <w:rFonts w:hint="default" w:ascii="Times New Roman" w:hAnsi="Times New Roman" w:eastAsia="华文中宋" w:cs="Times New Roman"/>
        <w:color w:val="000000" w:themeColor="text1"/>
        <w:spacing w:val="-31"/>
        <w:sz w:val="26"/>
        <w:szCs w:val="24"/>
        <w14:textFill>
          <w14:solidFill>
            <w14:schemeClr w14:val="tx1"/>
          </w14:solidFill>
        </w14:textFill>
      </w:rPr>
      <w:t>期</w:t>
    </w:r>
    <w:r>
      <w:rPr>
        <w:rFonts w:hint="default" w:ascii="Times New Roman" w:hAnsi="Times New Roman" w:eastAsia="华文中宋" w:cs="Times New Roman"/>
        <w:color w:val="000000" w:themeColor="text1"/>
        <w:sz w:val="26"/>
        <w:szCs w:val="24"/>
        <w14:textFill>
          <w14:solidFill>
            <w14:schemeClr w14:val="tx1"/>
          </w14:solidFill>
        </w14:textFill>
      </w:rPr>
      <w:t xml:space="preserve">  原平市人民政府公报</w:t>
    </w:r>
  </w:p>
  <w:p>
    <w:pPr>
      <w:pStyle w:val="15"/>
      <w:keepNext w:val="0"/>
      <w:keepLines w:val="0"/>
      <w:pageBreakBefore w:val="0"/>
      <w:widowControl w:val="0"/>
      <w:pBdr>
        <w:bottom w:val="none" w:color="auto" w:sz="0" w:space="1"/>
      </w:pBdr>
      <w:kinsoku/>
      <w:wordWrap/>
      <w:overflowPunct/>
      <w:topLinePunct w:val="0"/>
      <w:bidi w:val="0"/>
      <w:spacing w:line="240" w:lineRule="auto"/>
      <w:ind w:left="0" w:leftChars="0" w:firstLine="0" w:firstLineChars="0"/>
    </w:pPr>
    <w:r>
      <w:rPr>
        <w:rFonts w:hint="default" w:ascii="Times New Roman" w:hAnsi="Times New Roman" w:cs="Times New Roman"/>
        <w:color w:val="FF0000"/>
        <w:sz w:val="18"/>
      </w:rPr>
      <mc:AlternateContent>
        <mc:Choice Requires="wps">
          <w:drawing>
            <wp:anchor distT="0" distB="0" distL="114300" distR="114300" simplePos="0" relativeHeight="251666432" behindDoc="0" locked="0" layoutInCell="1" allowOverlap="1">
              <wp:simplePos x="0" y="0"/>
              <wp:positionH relativeFrom="column">
                <wp:posOffset>-12065</wp:posOffset>
              </wp:positionH>
              <wp:positionV relativeFrom="paragraph">
                <wp:posOffset>18415</wp:posOffset>
              </wp:positionV>
              <wp:extent cx="6008370" cy="635"/>
              <wp:effectExtent l="0" t="11430" r="1905" b="16510"/>
              <wp:wrapNone/>
              <wp:docPr id="75" name="直接连接符 75"/>
              <wp:cNvGraphicFramePr/>
              <a:graphic xmlns:a="http://schemas.openxmlformats.org/drawingml/2006/main">
                <a:graphicData uri="http://schemas.microsoft.com/office/word/2010/wordprocessingShape">
                  <wps:wsp>
                    <wps:cNvCnPr/>
                    <wps:spPr>
                      <a:xfrm flipV="1">
                        <a:off x="892810" y="931545"/>
                        <a:ext cx="6008370" cy="635"/>
                      </a:xfrm>
                      <a:prstGeom prst="line">
                        <a:avLst/>
                      </a:prstGeom>
                      <a:ln w="2286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0.95pt;margin-top:1.45pt;height:0.05pt;width:473.1pt;z-index:251666432;mso-width-relative:page;mso-height-relative:page;" filled="f" stroked="t" coordsize="21600,21600" o:gfxdata="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PySAtrWAAAABgEAAA8AAAAAAAAAAQAgAAAAIgAAAGRycy9kb3ducmV2Lnht&#10;bFBLAQIUABQAAAAIAIdO4kDx48F0+wEAAMoDAAAOAAAAAAAAAAEAIAAAACUBAABkcnMvZTJvRG9j&#10;LnhtbFBLBQYAAAAABgAGAFkBAACSBQAAAAA=&#10;">
              <v:fill on="f" focussize="0,0"/>
              <v:stroke weight="1.8pt" color="#000000 [3213]" miterlimit="8" joinstyle="miter"/>
              <v:imagedata o:title=""/>
              <o:lock v:ext="edit" aspectratio="f"/>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1"/>
  <w:bordersDoNotSurroundFooter w:val="1"/>
  <w:documentProtection w:enforcement="0"/>
  <w:defaultTabStop w:val="419"/>
  <w:evenAndOddHeaders w:val="1"/>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FjNGQ0YWNlNjQ2ZWMzMWFmYzNiNDVkNjY2ZjZhNTgifQ=="/>
  </w:docVars>
  <w:rsids>
    <w:rsidRoot w:val="1C9B52E5"/>
    <w:rsid w:val="00000099"/>
    <w:rsid w:val="00002869"/>
    <w:rsid w:val="00035820"/>
    <w:rsid w:val="0005248B"/>
    <w:rsid w:val="00055DFB"/>
    <w:rsid w:val="0006401A"/>
    <w:rsid w:val="00086DA6"/>
    <w:rsid w:val="000B6D75"/>
    <w:rsid w:val="000C536E"/>
    <w:rsid w:val="000F2D89"/>
    <w:rsid w:val="00125853"/>
    <w:rsid w:val="0015611E"/>
    <w:rsid w:val="001A78A1"/>
    <w:rsid w:val="001B6204"/>
    <w:rsid w:val="001E4209"/>
    <w:rsid w:val="001E468B"/>
    <w:rsid w:val="001E7798"/>
    <w:rsid w:val="001E7C13"/>
    <w:rsid w:val="0020727A"/>
    <w:rsid w:val="002557B1"/>
    <w:rsid w:val="002657E7"/>
    <w:rsid w:val="0027485F"/>
    <w:rsid w:val="002A6F42"/>
    <w:rsid w:val="002A7AC8"/>
    <w:rsid w:val="002B294C"/>
    <w:rsid w:val="002C3E46"/>
    <w:rsid w:val="002D0BE2"/>
    <w:rsid w:val="002E1344"/>
    <w:rsid w:val="002F20AD"/>
    <w:rsid w:val="00305751"/>
    <w:rsid w:val="00320F79"/>
    <w:rsid w:val="003639DD"/>
    <w:rsid w:val="00386A16"/>
    <w:rsid w:val="003A631E"/>
    <w:rsid w:val="003C2D99"/>
    <w:rsid w:val="0040709C"/>
    <w:rsid w:val="00431F7D"/>
    <w:rsid w:val="00454E76"/>
    <w:rsid w:val="00464265"/>
    <w:rsid w:val="004D74FC"/>
    <w:rsid w:val="004F09B5"/>
    <w:rsid w:val="00501223"/>
    <w:rsid w:val="005016DB"/>
    <w:rsid w:val="00535DD8"/>
    <w:rsid w:val="00564EE3"/>
    <w:rsid w:val="00597C1C"/>
    <w:rsid w:val="005A356B"/>
    <w:rsid w:val="005C41A4"/>
    <w:rsid w:val="006041DF"/>
    <w:rsid w:val="00640C82"/>
    <w:rsid w:val="006606B0"/>
    <w:rsid w:val="00664B97"/>
    <w:rsid w:val="006763B5"/>
    <w:rsid w:val="00683923"/>
    <w:rsid w:val="006C5C42"/>
    <w:rsid w:val="006F12E5"/>
    <w:rsid w:val="00701EEC"/>
    <w:rsid w:val="007061E0"/>
    <w:rsid w:val="007152D5"/>
    <w:rsid w:val="0073335B"/>
    <w:rsid w:val="00756F13"/>
    <w:rsid w:val="00770110"/>
    <w:rsid w:val="00774640"/>
    <w:rsid w:val="00775093"/>
    <w:rsid w:val="007B64D6"/>
    <w:rsid w:val="007C340A"/>
    <w:rsid w:val="00817766"/>
    <w:rsid w:val="00857A7D"/>
    <w:rsid w:val="008743EC"/>
    <w:rsid w:val="00890FDA"/>
    <w:rsid w:val="008A2C37"/>
    <w:rsid w:val="008A4103"/>
    <w:rsid w:val="008A7921"/>
    <w:rsid w:val="008B68B5"/>
    <w:rsid w:val="009301FE"/>
    <w:rsid w:val="009409EE"/>
    <w:rsid w:val="00957C10"/>
    <w:rsid w:val="009638BF"/>
    <w:rsid w:val="00980E5C"/>
    <w:rsid w:val="009E1A1C"/>
    <w:rsid w:val="00A14D80"/>
    <w:rsid w:val="00A243C4"/>
    <w:rsid w:val="00A41AD7"/>
    <w:rsid w:val="00A43031"/>
    <w:rsid w:val="00A82DEA"/>
    <w:rsid w:val="00A9675E"/>
    <w:rsid w:val="00AA224C"/>
    <w:rsid w:val="00AA40F2"/>
    <w:rsid w:val="00B02547"/>
    <w:rsid w:val="00B50520"/>
    <w:rsid w:val="00B752D8"/>
    <w:rsid w:val="00B76B16"/>
    <w:rsid w:val="00B77FAE"/>
    <w:rsid w:val="00B826E2"/>
    <w:rsid w:val="00B94925"/>
    <w:rsid w:val="00BA0A74"/>
    <w:rsid w:val="00BB7581"/>
    <w:rsid w:val="00BC0727"/>
    <w:rsid w:val="00BE0257"/>
    <w:rsid w:val="00BE1D54"/>
    <w:rsid w:val="00BE4CA9"/>
    <w:rsid w:val="00C12CED"/>
    <w:rsid w:val="00C23A57"/>
    <w:rsid w:val="00C36125"/>
    <w:rsid w:val="00C75A81"/>
    <w:rsid w:val="00C81A1E"/>
    <w:rsid w:val="00C85627"/>
    <w:rsid w:val="00CA763A"/>
    <w:rsid w:val="00CC3CC9"/>
    <w:rsid w:val="00CE4481"/>
    <w:rsid w:val="00CF28C9"/>
    <w:rsid w:val="00D046A3"/>
    <w:rsid w:val="00D6398A"/>
    <w:rsid w:val="00D65121"/>
    <w:rsid w:val="00D7604C"/>
    <w:rsid w:val="00D763C2"/>
    <w:rsid w:val="00DC3196"/>
    <w:rsid w:val="00E145E0"/>
    <w:rsid w:val="00E55BDA"/>
    <w:rsid w:val="00E67A7B"/>
    <w:rsid w:val="00EA42CF"/>
    <w:rsid w:val="00EC55E1"/>
    <w:rsid w:val="00ED36AC"/>
    <w:rsid w:val="00EF06D7"/>
    <w:rsid w:val="00F13AE9"/>
    <w:rsid w:val="00F44C0F"/>
    <w:rsid w:val="00F4614D"/>
    <w:rsid w:val="00F46782"/>
    <w:rsid w:val="00F72AB1"/>
    <w:rsid w:val="00F8047E"/>
    <w:rsid w:val="00F860FD"/>
    <w:rsid w:val="00F900B3"/>
    <w:rsid w:val="00FA3436"/>
    <w:rsid w:val="00FE1149"/>
    <w:rsid w:val="00FE597A"/>
    <w:rsid w:val="00FF22CB"/>
    <w:rsid w:val="010351AA"/>
    <w:rsid w:val="01374E54"/>
    <w:rsid w:val="01E53B2F"/>
    <w:rsid w:val="022950E4"/>
    <w:rsid w:val="0262278B"/>
    <w:rsid w:val="02AB5AF9"/>
    <w:rsid w:val="03380F32"/>
    <w:rsid w:val="037E320E"/>
    <w:rsid w:val="039842CF"/>
    <w:rsid w:val="03A44818"/>
    <w:rsid w:val="03A82039"/>
    <w:rsid w:val="03AF1619"/>
    <w:rsid w:val="03B83C76"/>
    <w:rsid w:val="03BB6210"/>
    <w:rsid w:val="03C70257"/>
    <w:rsid w:val="04041965"/>
    <w:rsid w:val="040C25C7"/>
    <w:rsid w:val="051F457C"/>
    <w:rsid w:val="05502988"/>
    <w:rsid w:val="059D3E1F"/>
    <w:rsid w:val="06134B4A"/>
    <w:rsid w:val="06400C4E"/>
    <w:rsid w:val="06530982"/>
    <w:rsid w:val="068E38F3"/>
    <w:rsid w:val="06D108E0"/>
    <w:rsid w:val="0756391B"/>
    <w:rsid w:val="07752619"/>
    <w:rsid w:val="07A3489E"/>
    <w:rsid w:val="07AA45D1"/>
    <w:rsid w:val="07DE427B"/>
    <w:rsid w:val="087D4A9B"/>
    <w:rsid w:val="08AA23AF"/>
    <w:rsid w:val="08EF7A39"/>
    <w:rsid w:val="09231FD5"/>
    <w:rsid w:val="09646A02"/>
    <w:rsid w:val="09750C0F"/>
    <w:rsid w:val="09AB0F5A"/>
    <w:rsid w:val="09B07E99"/>
    <w:rsid w:val="0AB45767"/>
    <w:rsid w:val="0B2E376B"/>
    <w:rsid w:val="0BAB73BA"/>
    <w:rsid w:val="0BD25B76"/>
    <w:rsid w:val="0CA041F5"/>
    <w:rsid w:val="0D6020A9"/>
    <w:rsid w:val="0D892EDB"/>
    <w:rsid w:val="0DC857B1"/>
    <w:rsid w:val="0DDA54E4"/>
    <w:rsid w:val="0F056591"/>
    <w:rsid w:val="0F824086"/>
    <w:rsid w:val="0F9542DF"/>
    <w:rsid w:val="0FA7589A"/>
    <w:rsid w:val="0FB64E35"/>
    <w:rsid w:val="0FF52AA9"/>
    <w:rsid w:val="105E41AB"/>
    <w:rsid w:val="10A217D3"/>
    <w:rsid w:val="11020FDA"/>
    <w:rsid w:val="11166833"/>
    <w:rsid w:val="11597DA6"/>
    <w:rsid w:val="122D2087"/>
    <w:rsid w:val="12883761"/>
    <w:rsid w:val="128B4FFF"/>
    <w:rsid w:val="12971BF6"/>
    <w:rsid w:val="130F08F9"/>
    <w:rsid w:val="13511DA5"/>
    <w:rsid w:val="135901C2"/>
    <w:rsid w:val="13855EF2"/>
    <w:rsid w:val="13C24F19"/>
    <w:rsid w:val="13C92283"/>
    <w:rsid w:val="14272A04"/>
    <w:rsid w:val="143F2545"/>
    <w:rsid w:val="14C36CD2"/>
    <w:rsid w:val="14D1667B"/>
    <w:rsid w:val="14D26F15"/>
    <w:rsid w:val="14E17CDB"/>
    <w:rsid w:val="1537753B"/>
    <w:rsid w:val="158741A4"/>
    <w:rsid w:val="15B253C2"/>
    <w:rsid w:val="161A5018"/>
    <w:rsid w:val="163A2FC4"/>
    <w:rsid w:val="16695657"/>
    <w:rsid w:val="16BA5EB3"/>
    <w:rsid w:val="16D57191"/>
    <w:rsid w:val="17367C2F"/>
    <w:rsid w:val="17783EE5"/>
    <w:rsid w:val="178070FD"/>
    <w:rsid w:val="185B5474"/>
    <w:rsid w:val="18784278"/>
    <w:rsid w:val="1890511D"/>
    <w:rsid w:val="18C43019"/>
    <w:rsid w:val="19933CF7"/>
    <w:rsid w:val="1994787E"/>
    <w:rsid w:val="19E971DB"/>
    <w:rsid w:val="1A541A94"/>
    <w:rsid w:val="1A9133CF"/>
    <w:rsid w:val="1AA50C28"/>
    <w:rsid w:val="1AD02149"/>
    <w:rsid w:val="1B8A054A"/>
    <w:rsid w:val="1BBF1661"/>
    <w:rsid w:val="1BC05D1A"/>
    <w:rsid w:val="1C200EAE"/>
    <w:rsid w:val="1C556DAA"/>
    <w:rsid w:val="1C6568C1"/>
    <w:rsid w:val="1C735482"/>
    <w:rsid w:val="1C9B52E5"/>
    <w:rsid w:val="1CDA1E19"/>
    <w:rsid w:val="1D085BCA"/>
    <w:rsid w:val="1D3C476A"/>
    <w:rsid w:val="1D5801D4"/>
    <w:rsid w:val="1D8D557B"/>
    <w:rsid w:val="1DAB29F9"/>
    <w:rsid w:val="1E805C34"/>
    <w:rsid w:val="1EB06519"/>
    <w:rsid w:val="1EBF675C"/>
    <w:rsid w:val="1ECF4D3F"/>
    <w:rsid w:val="1EE461C3"/>
    <w:rsid w:val="1F2667DB"/>
    <w:rsid w:val="1F2F557D"/>
    <w:rsid w:val="2031368A"/>
    <w:rsid w:val="204131A1"/>
    <w:rsid w:val="20A0436C"/>
    <w:rsid w:val="20D90C8E"/>
    <w:rsid w:val="20F16975"/>
    <w:rsid w:val="20F621DE"/>
    <w:rsid w:val="2221772E"/>
    <w:rsid w:val="227E584F"/>
    <w:rsid w:val="22A55C69"/>
    <w:rsid w:val="22AF3A10"/>
    <w:rsid w:val="23046E34"/>
    <w:rsid w:val="230E51AD"/>
    <w:rsid w:val="23476D20"/>
    <w:rsid w:val="23677265"/>
    <w:rsid w:val="239A1546"/>
    <w:rsid w:val="23A15A2A"/>
    <w:rsid w:val="23DE179B"/>
    <w:rsid w:val="24590AD9"/>
    <w:rsid w:val="246102B6"/>
    <w:rsid w:val="250E3F9A"/>
    <w:rsid w:val="2540611D"/>
    <w:rsid w:val="256162F1"/>
    <w:rsid w:val="25643BBA"/>
    <w:rsid w:val="25950217"/>
    <w:rsid w:val="25C428AA"/>
    <w:rsid w:val="25FB7465"/>
    <w:rsid w:val="26272FDF"/>
    <w:rsid w:val="263E440B"/>
    <w:rsid w:val="268169ED"/>
    <w:rsid w:val="27846795"/>
    <w:rsid w:val="278F4991"/>
    <w:rsid w:val="27B61356"/>
    <w:rsid w:val="27CE17BE"/>
    <w:rsid w:val="27DD7C53"/>
    <w:rsid w:val="27E2170E"/>
    <w:rsid w:val="28C930A6"/>
    <w:rsid w:val="29194CBB"/>
    <w:rsid w:val="294640EF"/>
    <w:rsid w:val="29B175E9"/>
    <w:rsid w:val="29EE7EF6"/>
    <w:rsid w:val="2A6308E4"/>
    <w:rsid w:val="2A946CEF"/>
    <w:rsid w:val="2AA902C1"/>
    <w:rsid w:val="2AFE4B72"/>
    <w:rsid w:val="2B200583"/>
    <w:rsid w:val="2B22254D"/>
    <w:rsid w:val="2B30453E"/>
    <w:rsid w:val="2BAA0794"/>
    <w:rsid w:val="2BAF1907"/>
    <w:rsid w:val="2BB67139"/>
    <w:rsid w:val="2BC2762A"/>
    <w:rsid w:val="2BCC070B"/>
    <w:rsid w:val="2BE33EDA"/>
    <w:rsid w:val="2BF12E7A"/>
    <w:rsid w:val="2C4D184B"/>
    <w:rsid w:val="2C923702"/>
    <w:rsid w:val="2D621327"/>
    <w:rsid w:val="2E206AEC"/>
    <w:rsid w:val="2ED26DAA"/>
    <w:rsid w:val="2F423FC4"/>
    <w:rsid w:val="2FAD0853"/>
    <w:rsid w:val="2FC130E0"/>
    <w:rsid w:val="300606AA"/>
    <w:rsid w:val="3006424D"/>
    <w:rsid w:val="30124EDF"/>
    <w:rsid w:val="30DA11D4"/>
    <w:rsid w:val="317B5CBE"/>
    <w:rsid w:val="31D976DD"/>
    <w:rsid w:val="320F28B0"/>
    <w:rsid w:val="32220E91"/>
    <w:rsid w:val="329A50BF"/>
    <w:rsid w:val="3390201E"/>
    <w:rsid w:val="33957DE3"/>
    <w:rsid w:val="346040E6"/>
    <w:rsid w:val="34AE4E51"/>
    <w:rsid w:val="34D80120"/>
    <w:rsid w:val="34E00675"/>
    <w:rsid w:val="353F1A6B"/>
    <w:rsid w:val="35462017"/>
    <w:rsid w:val="36121410"/>
    <w:rsid w:val="36162CAE"/>
    <w:rsid w:val="3635398B"/>
    <w:rsid w:val="363F1563"/>
    <w:rsid w:val="3643781B"/>
    <w:rsid w:val="36592B9B"/>
    <w:rsid w:val="36BA5D2F"/>
    <w:rsid w:val="372765DB"/>
    <w:rsid w:val="377E4FAF"/>
    <w:rsid w:val="37870EDE"/>
    <w:rsid w:val="379320DC"/>
    <w:rsid w:val="37BB5E4C"/>
    <w:rsid w:val="37CF580A"/>
    <w:rsid w:val="37D43C81"/>
    <w:rsid w:val="38151BEF"/>
    <w:rsid w:val="38177231"/>
    <w:rsid w:val="387E4B3B"/>
    <w:rsid w:val="38D66725"/>
    <w:rsid w:val="38E668BE"/>
    <w:rsid w:val="39553AED"/>
    <w:rsid w:val="397C551E"/>
    <w:rsid w:val="39FC21BB"/>
    <w:rsid w:val="39FD5F33"/>
    <w:rsid w:val="3A033549"/>
    <w:rsid w:val="3A0616B9"/>
    <w:rsid w:val="3A2413AB"/>
    <w:rsid w:val="3A6303AE"/>
    <w:rsid w:val="3A72247D"/>
    <w:rsid w:val="3A8832FC"/>
    <w:rsid w:val="3AF94C08"/>
    <w:rsid w:val="3BD11425"/>
    <w:rsid w:val="3CC2593E"/>
    <w:rsid w:val="3CCF1E09"/>
    <w:rsid w:val="3D114633"/>
    <w:rsid w:val="3D2C725B"/>
    <w:rsid w:val="3DC72AE0"/>
    <w:rsid w:val="3E496510"/>
    <w:rsid w:val="3E9B4960"/>
    <w:rsid w:val="3EA90437"/>
    <w:rsid w:val="3EB412B6"/>
    <w:rsid w:val="3EFB5050"/>
    <w:rsid w:val="3F205787"/>
    <w:rsid w:val="3F9D1D4A"/>
    <w:rsid w:val="3FA27361"/>
    <w:rsid w:val="3FA4132B"/>
    <w:rsid w:val="3FAF1FBB"/>
    <w:rsid w:val="401A6EC9"/>
    <w:rsid w:val="405014B2"/>
    <w:rsid w:val="406E7B8B"/>
    <w:rsid w:val="407F2BC6"/>
    <w:rsid w:val="40BA0DD8"/>
    <w:rsid w:val="40C14331"/>
    <w:rsid w:val="41856F3A"/>
    <w:rsid w:val="421B164C"/>
    <w:rsid w:val="423D5A66"/>
    <w:rsid w:val="42890CAC"/>
    <w:rsid w:val="42EB101F"/>
    <w:rsid w:val="4326474D"/>
    <w:rsid w:val="43F87E97"/>
    <w:rsid w:val="4488300E"/>
    <w:rsid w:val="44AB4F09"/>
    <w:rsid w:val="44E30DDF"/>
    <w:rsid w:val="44E64193"/>
    <w:rsid w:val="45833790"/>
    <w:rsid w:val="45B0245F"/>
    <w:rsid w:val="460A2104"/>
    <w:rsid w:val="46964A4B"/>
    <w:rsid w:val="46DA3884"/>
    <w:rsid w:val="47694C08"/>
    <w:rsid w:val="47957386"/>
    <w:rsid w:val="47C87B80"/>
    <w:rsid w:val="47CB0DA4"/>
    <w:rsid w:val="480E25A0"/>
    <w:rsid w:val="48AC74A2"/>
    <w:rsid w:val="49101036"/>
    <w:rsid w:val="492B03C7"/>
    <w:rsid w:val="4A1F7820"/>
    <w:rsid w:val="4A325785"/>
    <w:rsid w:val="4A3E05CE"/>
    <w:rsid w:val="4A464097"/>
    <w:rsid w:val="4AE922E8"/>
    <w:rsid w:val="4AF13D09"/>
    <w:rsid w:val="4B016EDE"/>
    <w:rsid w:val="4C0201EE"/>
    <w:rsid w:val="4C6360CA"/>
    <w:rsid w:val="4CB84667"/>
    <w:rsid w:val="4CD50E6C"/>
    <w:rsid w:val="4D4759EB"/>
    <w:rsid w:val="4DDB6FF8"/>
    <w:rsid w:val="4DE82D2A"/>
    <w:rsid w:val="4E8F5222"/>
    <w:rsid w:val="4E98229D"/>
    <w:rsid w:val="4F711713"/>
    <w:rsid w:val="4FA26F09"/>
    <w:rsid w:val="4FBF3F5F"/>
    <w:rsid w:val="4FFC2ABD"/>
    <w:rsid w:val="50834F8C"/>
    <w:rsid w:val="5123462D"/>
    <w:rsid w:val="51F779E0"/>
    <w:rsid w:val="524B3888"/>
    <w:rsid w:val="524D13AE"/>
    <w:rsid w:val="528F19C6"/>
    <w:rsid w:val="52A97E02"/>
    <w:rsid w:val="532C190B"/>
    <w:rsid w:val="53316F22"/>
    <w:rsid w:val="533F123F"/>
    <w:rsid w:val="536760AB"/>
    <w:rsid w:val="538660DF"/>
    <w:rsid w:val="53952781"/>
    <w:rsid w:val="545804DE"/>
    <w:rsid w:val="549459BA"/>
    <w:rsid w:val="54F5082C"/>
    <w:rsid w:val="550541C2"/>
    <w:rsid w:val="550F6C6A"/>
    <w:rsid w:val="55AF412E"/>
    <w:rsid w:val="56450363"/>
    <w:rsid w:val="57212E09"/>
    <w:rsid w:val="574062F6"/>
    <w:rsid w:val="57596A47"/>
    <w:rsid w:val="578F1019"/>
    <w:rsid w:val="578F4217"/>
    <w:rsid w:val="58084289"/>
    <w:rsid w:val="58237473"/>
    <w:rsid w:val="584A43BC"/>
    <w:rsid w:val="587C29ED"/>
    <w:rsid w:val="58812B0F"/>
    <w:rsid w:val="58AE4B70"/>
    <w:rsid w:val="5939268C"/>
    <w:rsid w:val="59516454"/>
    <w:rsid w:val="596040BD"/>
    <w:rsid w:val="59D20123"/>
    <w:rsid w:val="5AD17C9B"/>
    <w:rsid w:val="5B5714EF"/>
    <w:rsid w:val="5C0351D3"/>
    <w:rsid w:val="5C2A6C04"/>
    <w:rsid w:val="5C4C1E77"/>
    <w:rsid w:val="5D02548B"/>
    <w:rsid w:val="5D423AD9"/>
    <w:rsid w:val="5D4D1864"/>
    <w:rsid w:val="5D883BE2"/>
    <w:rsid w:val="5DF748C4"/>
    <w:rsid w:val="5EAB5E7A"/>
    <w:rsid w:val="5EAC1B52"/>
    <w:rsid w:val="5F1A6ABC"/>
    <w:rsid w:val="604B33D6"/>
    <w:rsid w:val="607D5554"/>
    <w:rsid w:val="60943EF9"/>
    <w:rsid w:val="60AE1334"/>
    <w:rsid w:val="60E250F5"/>
    <w:rsid w:val="61047A23"/>
    <w:rsid w:val="610A2B60"/>
    <w:rsid w:val="614F73D5"/>
    <w:rsid w:val="617D2BDF"/>
    <w:rsid w:val="61E85609"/>
    <w:rsid w:val="620B4DE2"/>
    <w:rsid w:val="626C3AD2"/>
    <w:rsid w:val="626F5370"/>
    <w:rsid w:val="62C64177"/>
    <w:rsid w:val="636B1FDC"/>
    <w:rsid w:val="63891FB6"/>
    <w:rsid w:val="63A92582"/>
    <w:rsid w:val="63BD46B1"/>
    <w:rsid w:val="63D90E5E"/>
    <w:rsid w:val="642F7AEC"/>
    <w:rsid w:val="645A4CC7"/>
    <w:rsid w:val="64B13A1E"/>
    <w:rsid w:val="64F8789F"/>
    <w:rsid w:val="659A12C6"/>
    <w:rsid w:val="65AF2E8B"/>
    <w:rsid w:val="65FE2039"/>
    <w:rsid w:val="661A55F3"/>
    <w:rsid w:val="66734968"/>
    <w:rsid w:val="66AA2E1B"/>
    <w:rsid w:val="66B05309"/>
    <w:rsid w:val="66D25ECE"/>
    <w:rsid w:val="672A7AB8"/>
    <w:rsid w:val="676615B3"/>
    <w:rsid w:val="67AD6352"/>
    <w:rsid w:val="67CE7AFB"/>
    <w:rsid w:val="67EC79E0"/>
    <w:rsid w:val="681A5AE8"/>
    <w:rsid w:val="68232978"/>
    <w:rsid w:val="68336E40"/>
    <w:rsid w:val="685748DD"/>
    <w:rsid w:val="68646FFA"/>
    <w:rsid w:val="68880F3A"/>
    <w:rsid w:val="68B43ADD"/>
    <w:rsid w:val="68B97345"/>
    <w:rsid w:val="68D66B68"/>
    <w:rsid w:val="69434E61"/>
    <w:rsid w:val="69584AED"/>
    <w:rsid w:val="696A0640"/>
    <w:rsid w:val="6A303637"/>
    <w:rsid w:val="6AC218A4"/>
    <w:rsid w:val="6B2001EE"/>
    <w:rsid w:val="6B232928"/>
    <w:rsid w:val="6B4A0729"/>
    <w:rsid w:val="6B570EC0"/>
    <w:rsid w:val="6B9320D0"/>
    <w:rsid w:val="6B99345E"/>
    <w:rsid w:val="6C7041BF"/>
    <w:rsid w:val="6D074BEE"/>
    <w:rsid w:val="6D0A4613"/>
    <w:rsid w:val="6D0D4104"/>
    <w:rsid w:val="6D5E2269"/>
    <w:rsid w:val="6D745F31"/>
    <w:rsid w:val="6DAA0656"/>
    <w:rsid w:val="6DEF3809"/>
    <w:rsid w:val="6E1868BC"/>
    <w:rsid w:val="6EA168B2"/>
    <w:rsid w:val="6EFF7A7C"/>
    <w:rsid w:val="6F1E6154"/>
    <w:rsid w:val="6FB2689C"/>
    <w:rsid w:val="6FEA24DA"/>
    <w:rsid w:val="702F526B"/>
    <w:rsid w:val="704A4D27"/>
    <w:rsid w:val="70D171F6"/>
    <w:rsid w:val="70F46CEE"/>
    <w:rsid w:val="71063344"/>
    <w:rsid w:val="71265794"/>
    <w:rsid w:val="71502811"/>
    <w:rsid w:val="715C69F2"/>
    <w:rsid w:val="719941B8"/>
    <w:rsid w:val="71EA4A14"/>
    <w:rsid w:val="726F653E"/>
    <w:rsid w:val="72793C44"/>
    <w:rsid w:val="72840FED"/>
    <w:rsid w:val="72D34C83"/>
    <w:rsid w:val="72E41E5B"/>
    <w:rsid w:val="72E72D01"/>
    <w:rsid w:val="73DE4104"/>
    <w:rsid w:val="73E159A2"/>
    <w:rsid w:val="74493C73"/>
    <w:rsid w:val="748F53FE"/>
    <w:rsid w:val="75ED062E"/>
    <w:rsid w:val="760D0134"/>
    <w:rsid w:val="764D5571"/>
    <w:rsid w:val="777C4360"/>
    <w:rsid w:val="777D3C34"/>
    <w:rsid w:val="78153E6C"/>
    <w:rsid w:val="782C64CC"/>
    <w:rsid w:val="783B5319"/>
    <w:rsid w:val="78480F87"/>
    <w:rsid w:val="78E84C32"/>
    <w:rsid w:val="78F16688"/>
    <w:rsid w:val="79351819"/>
    <w:rsid w:val="793B7903"/>
    <w:rsid w:val="794E5888"/>
    <w:rsid w:val="7B705F89"/>
    <w:rsid w:val="7C5458F8"/>
    <w:rsid w:val="7C5E1256"/>
    <w:rsid w:val="7C715DD6"/>
    <w:rsid w:val="7CF661AB"/>
    <w:rsid w:val="7CF77FE5"/>
    <w:rsid w:val="7D013CA2"/>
    <w:rsid w:val="7D841250"/>
    <w:rsid w:val="7DC643EC"/>
    <w:rsid w:val="7E0D5EFC"/>
    <w:rsid w:val="7E5D17F1"/>
    <w:rsid w:val="7E704FA3"/>
    <w:rsid w:val="7E7A39CC"/>
    <w:rsid w:val="7EB22415"/>
    <w:rsid w:val="7F10538E"/>
    <w:rsid w:val="7F2B543B"/>
    <w:rsid w:val="7FD14B1D"/>
    <w:rsid w:val="7FD34D39"/>
    <w:rsid w:val="7FFF78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spacing w:line="500" w:lineRule="exact"/>
      <w:ind w:firstLine="840" w:firstLineChars="200"/>
      <w:jc w:val="both"/>
    </w:pPr>
    <w:rPr>
      <w:rFonts w:ascii="仿宋_GB2312" w:hAnsi="仿宋_GB2312" w:eastAsia="仿宋_GB2312" w:cstheme="minorBidi"/>
      <w:kern w:val="2"/>
      <w:sz w:val="24"/>
      <w:szCs w:val="24"/>
      <w:lang w:val="en-US" w:eastAsia="zh-CN" w:bidi="ar-SA"/>
    </w:rPr>
  </w:style>
  <w:style w:type="paragraph" w:styleId="2">
    <w:name w:val="heading 1"/>
    <w:basedOn w:val="1"/>
    <w:next w:val="1"/>
    <w:qFormat/>
    <w:uiPriority w:val="0"/>
    <w:pPr>
      <w:keepNext/>
      <w:keepLines/>
      <w:snapToGrid w:val="0"/>
      <w:spacing w:beforeLines="0" w:beforeAutospacing="0" w:afterLines="0" w:afterAutospacing="0" w:line="540" w:lineRule="exact"/>
      <w:ind w:firstLine="0" w:firstLineChars="0"/>
      <w:jc w:val="center"/>
      <w:outlineLvl w:val="0"/>
    </w:pPr>
    <w:rPr>
      <w:rFonts w:ascii="方正大标宋_GBK" w:hAnsi="方正大标宋_GBK" w:eastAsia="方正小标宋_GBK" w:cs="方正大标宋_GBK"/>
      <w:kern w:val="44"/>
      <w:sz w:val="42"/>
    </w:rPr>
  </w:style>
  <w:style w:type="paragraph" w:styleId="3">
    <w:name w:val="heading 2"/>
    <w:basedOn w:val="1"/>
    <w:next w:val="1"/>
    <w:unhideWhenUsed/>
    <w:qFormat/>
    <w:uiPriority w:val="0"/>
    <w:pPr>
      <w:keepNext/>
      <w:keepLines/>
      <w:snapToGrid w:val="0"/>
      <w:spacing w:beforeLines="0" w:beforeAutospacing="0" w:after="283" w:afterLines="0" w:afterAutospacing="0" w:line="240" w:lineRule="auto"/>
      <w:ind w:firstLine="0" w:firstLineChars="0"/>
      <w:jc w:val="center"/>
      <w:outlineLvl w:val="1"/>
    </w:pPr>
    <w:rPr>
      <w:rFonts w:ascii="楷体" w:hAnsi="楷体" w:eastAsia="楷体"/>
    </w:rPr>
  </w:style>
  <w:style w:type="paragraph" w:styleId="4">
    <w:name w:val="heading 3"/>
    <w:basedOn w:val="1"/>
    <w:next w:val="1"/>
    <w:link w:val="38"/>
    <w:unhideWhenUsed/>
    <w:qFormat/>
    <w:uiPriority w:val="0"/>
    <w:pPr>
      <w:keepNext/>
      <w:keepLines/>
      <w:spacing w:beforeLines="0" w:beforeAutospacing="0" w:afterLines="0" w:afterAutospacing="0" w:line="420" w:lineRule="atLeast"/>
      <w:outlineLvl w:val="2"/>
    </w:pPr>
    <w:rPr>
      <w:rFonts w:ascii="黑体" w:hAnsi="黑体" w:eastAsia="黑体"/>
      <w:sz w:val="26"/>
    </w:rPr>
  </w:style>
  <w:style w:type="paragraph" w:styleId="5">
    <w:name w:val="heading 4"/>
    <w:basedOn w:val="1"/>
    <w:next w:val="1"/>
    <w:link w:val="29"/>
    <w:unhideWhenUsed/>
    <w:qFormat/>
    <w:uiPriority w:val="0"/>
    <w:pPr>
      <w:keepNext w:val="0"/>
      <w:keepLines w:val="0"/>
      <w:spacing w:beforeLines="0" w:beforeAutospacing="0" w:afterLines="0" w:afterAutospacing="0" w:line="420" w:lineRule="exact"/>
      <w:outlineLvl w:val="3"/>
    </w:pPr>
    <w:rPr>
      <w:rFonts w:ascii="楷体" w:hAnsi="楷体" w:eastAsia="楷体"/>
    </w:rPr>
  </w:style>
  <w:style w:type="paragraph" w:styleId="6">
    <w:name w:val="heading 5"/>
    <w:basedOn w:val="1"/>
    <w:next w:val="1"/>
    <w:unhideWhenUsed/>
    <w:qFormat/>
    <w:uiPriority w:val="0"/>
    <w:pPr>
      <w:keepNext/>
      <w:keepLines/>
      <w:spacing w:before="320" w:beforeLines="0" w:beforeAutospacing="0" w:after="200" w:afterLines="0" w:afterAutospacing="0" w:line="372" w:lineRule="auto"/>
      <w:outlineLvl w:val="4"/>
    </w:pPr>
    <w:rPr>
      <w:rFonts w:ascii="宋体" w:hAnsi="宋体" w:eastAsia="宋体"/>
      <w:sz w:val="19"/>
    </w:rPr>
  </w:style>
  <w:style w:type="paragraph" w:styleId="7">
    <w:name w:val="heading 6"/>
    <w:basedOn w:val="1"/>
    <w:next w:val="1"/>
    <w:semiHidden/>
    <w:unhideWhenUsed/>
    <w:qFormat/>
    <w:uiPriority w:val="0"/>
    <w:pPr>
      <w:keepNext/>
      <w:keepLines/>
      <w:tabs>
        <w:tab w:val="right" w:leader="dot" w:pos="9492"/>
      </w:tabs>
      <w:spacing w:beforeLines="0" w:beforeAutospacing="0" w:afterLines="0" w:afterAutospacing="0" w:line="240" w:lineRule="auto"/>
      <w:ind w:firstLine="1759" w:firstLineChars="419"/>
      <w:outlineLvl w:val="5"/>
    </w:pPr>
    <w:rPr>
      <w:rFonts w:ascii="楷体" w:hAnsi="楷体" w:eastAsia="楷体" w:cs="楷体"/>
      <w:spacing w:val="-6"/>
      <w:sz w:val="20"/>
    </w:rPr>
  </w:style>
  <w:style w:type="paragraph" w:styleId="8">
    <w:name w:val="heading 7"/>
    <w:basedOn w:val="1"/>
    <w:next w:val="1"/>
    <w:semiHidden/>
    <w:unhideWhenUsed/>
    <w:qFormat/>
    <w:uiPriority w:val="0"/>
    <w:pPr>
      <w:keepNext/>
      <w:keepLines/>
      <w:spacing w:beforeLines="0" w:beforeAutospacing="0" w:afterLines="0" w:afterAutospacing="0" w:line="240" w:lineRule="auto"/>
      <w:ind w:firstLine="0" w:firstLineChars="0"/>
      <w:jc w:val="left"/>
      <w:outlineLvl w:val="6"/>
    </w:pPr>
    <w:rPr>
      <w:rFonts w:eastAsia="黑体"/>
      <w:color w:val="FF0000"/>
      <w:spacing w:val="-6"/>
      <w:sz w:val="32"/>
    </w:rPr>
  </w:style>
  <w:style w:type="paragraph" w:styleId="9">
    <w:name w:val="heading 8"/>
    <w:basedOn w:val="1"/>
    <w:next w:val="1"/>
    <w:semiHidden/>
    <w:unhideWhenUsed/>
    <w:qFormat/>
    <w:uiPriority w:val="0"/>
    <w:pPr>
      <w:keepNext/>
      <w:keepLines/>
      <w:spacing w:before="240" w:beforeLines="0" w:beforeAutospacing="0" w:after="64" w:afterLines="0" w:afterAutospacing="0" w:line="317" w:lineRule="auto"/>
      <w:outlineLvl w:val="7"/>
    </w:pPr>
    <w:rPr>
      <w:rFonts w:ascii="Arial" w:hAnsi="Arial" w:eastAsia="黑体"/>
      <w:sz w:val="24"/>
    </w:rPr>
  </w:style>
  <w:style w:type="character" w:default="1" w:styleId="19">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10">
    <w:name w:val="Body Text"/>
    <w:basedOn w:val="1"/>
    <w:next w:val="1"/>
    <w:qFormat/>
    <w:uiPriority w:val="0"/>
    <w:pPr>
      <w:spacing w:after="120"/>
    </w:pPr>
    <w:rPr>
      <w:szCs w:val="20"/>
    </w:rPr>
  </w:style>
  <w:style w:type="paragraph" w:styleId="11">
    <w:name w:val="toc 3"/>
    <w:basedOn w:val="1"/>
    <w:next w:val="1"/>
    <w:qFormat/>
    <w:uiPriority w:val="0"/>
    <w:pPr>
      <w:ind w:left="840" w:leftChars="400"/>
    </w:pPr>
  </w:style>
  <w:style w:type="paragraph" w:styleId="12">
    <w:name w:val="Plain Text"/>
    <w:basedOn w:val="1"/>
    <w:qFormat/>
    <w:uiPriority w:val="0"/>
    <w:rPr>
      <w:rFonts w:ascii="宋体" w:hAnsi="Courier New"/>
    </w:rPr>
  </w:style>
  <w:style w:type="paragraph" w:styleId="13">
    <w:name w:val="Date"/>
    <w:basedOn w:val="1"/>
    <w:next w:val="1"/>
    <w:qFormat/>
    <w:uiPriority w:val="0"/>
    <w:pPr>
      <w:snapToGrid/>
      <w:spacing w:line="240" w:lineRule="auto"/>
      <w:ind w:left="100" w:leftChars="2500" w:firstLine="0" w:firstLineChars="0"/>
    </w:pPr>
    <w:rPr>
      <w:rFonts w:ascii="Times New Roman" w:hAnsi="Times New Roman" w:eastAsia="宋体" w:cs="Times New Roman"/>
      <w:sz w:val="21"/>
    </w:rPr>
  </w:style>
  <w:style w:type="paragraph" w:styleId="14">
    <w:name w:val="footer"/>
    <w:basedOn w:val="1"/>
    <w:qFormat/>
    <w:uiPriority w:val="0"/>
    <w:pPr>
      <w:tabs>
        <w:tab w:val="center" w:pos="4153"/>
        <w:tab w:val="right" w:pos="8306"/>
      </w:tabs>
      <w:snapToGrid w:val="0"/>
      <w:jc w:val="left"/>
    </w:pPr>
    <w:rPr>
      <w:sz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toc 1"/>
    <w:basedOn w:val="1"/>
    <w:next w:val="1"/>
    <w:qFormat/>
    <w:uiPriority w:val="0"/>
    <w:pPr>
      <w:spacing w:before="320" w:after="200" w:line="372" w:lineRule="auto"/>
      <w:jc w:val="left"/>
    </w:pPr>
    <w:rPr>
      <w:rFonts w:eastAsia="宋体"/>
      <w:sz w:val="19"/>
    </w:rPr>
  </w:style>
  <w:style w:type="paragraph" w:styleId="17">
    <w:name w:val="toc 2"/>
    <w:basedOn w:val="1"/>
    <w:next w:val="1"/>
    <w:qFormat/>
    <w:uiPriority w:val="0"/>
    <w:pPr>
      <w:adjustRightInd w:val="0"/>
      <w:spacing w:line="240" w:lineRule="auto"/>
      <w:ind w:left="0" w:leftChars="0" w:firstLine="1759" w:firstLineChars="419"/>
    </w:pPr>
    <w:rPr>
      <w:rFonts w:ascii="楷体" w:hAnsi="楷体" w:eastAsia="楷体" w:cs="楷体"/>
      <w:sz w:val="20"/>
    </w:rPr>
  </w:style>
  <w:style w:type="character" w:styleId="20">
    <w:name w:val="page number"/>
    <w:basedOn w:val="19"/>
    <w:qFormat/>
    <w:uiPriority w:val="0"/>
    <w:rPr>
      <w:rFonts w:ascii="Times New Roman" w:hAnsi="Times New Roman" w:eastAsia="宋体" w:cs="Times New Roman"/>
    </w:rPr>
  </w:style>
  <w:style w:type="paragraph" w:customStyle="1" w:styleId="21">
    <w:name w:val="[基本段落]"/>
    <w:basedOn w:val="22"/>
    <w:unhideWhenUsed/>
    <w:qFormat/>
    <w:uiPriority w:val="99"/>
    <w:pPr>
      <w:spacing w:beforeLines="0" w:afterLines="0"/>
    </w:pPr>
    <w:rPr>
      <w:rFonts w:hint="eastAsia"/>
      <w:sz w:val="24"/>
      <w:szCs w:val="24"/>
    </w:rPr>
  </w:style>
  <w:style w:type="paragraph" w:customStyle="1" w:styleId="22">
    <w:name w:val="[无段落样式]"/>
    <w:unhideWhenUsed/>
    <w:qFormat/>
    <w:uiPriority w:val="99"/>
    <w:pPr>
      <w:widowControl w:val="0"/>
      <w:autoSpaceDE w:val="0"/>
      <w:autoSpaceDN w:val="0"/>
      <w:adjustRightInd w:val="0"/>
      <w:spacing w:beforeLines="0" w:afterLines="0" w:line="288" w:lineRule="auto"/>
      <w:jc w:val="both"/>
      <w:textAlignment w:val="center"/>
    </w:pPr>
    <w:rPr>
      <w:rFonts w:hint="eastAsia" w:ascii="AdobeSongStd-Light" w:hAnsi="AdobeSongStd-Light" w:eastAsia="AdobeSongStd-Light" w:cs="Times New Roman"/>
      <w:color w:val="000000"/>
      <w:sz w:val="24"/>
      <w:szCs w:val="24"/>
      <w:lang w:val="zh-CN"/>
    </w:rPr>
  </w:style>
  <w:style w:type="character" w:customStyle="1" w:styleId="23">
    <w:name w:val="函号样式"/>
    <w:unhideWhenUsed/>
    <w:qFormat/>
    <w:uiPriority w:val="99"/>
    <w:rPr>
      <w:rFonts w:hint="eastAsia" w:ascii="楷体" w:hAnsi="楷体" w:eastAsia="楷体"/>
      <w:sz w:val="24"/>
      <w:szCs w:val="24"/>
    </w:rPr>
  </w:style>
  <w:style w:type="paragraph" w:customStyle="1" w:styleId="24">
    <w:name w:val="公报页码"/>
    <w:basedOn w:val="1"/>
    <w:qFormat/>
    <w:uiPriority w:val="0"/>
    <w:pPr>
      <w:tabs>
        <w:tab w:val="center" w:pos="4153"/>
        <w:tab w:val="right" w:pos="8306"/>
      </w:tabs>
      <w:ind w:firstLine="0" w:firstLineChars="0"/>
      <w:jc w:val="left"/>
    </w:pPr>
    <w:rPr>
      <w:rFonts w:ascii="Times New Roman" w:hAnsi="Times New Roman" w:eastAsia="宋体" w:cs="Times New Roman"/>
      <w:color w:val="auto"/>
      <w:spacing w:val="-28"/>
    </w:rPr>
  </w:style>
  <w:style w:type="paragraph" w:customStyle="1" w:styleId="25">
    <w:name w:val="楷体段落"/>
    <w:basedOn w:val="22"/>
    <w:unhideWhenUsed/>
    <w:qFormat/>
    <w:uiPriority w:val="99"/>
    <w:pPr>
      <w:spacing w:beforeLines="0" w:afterLines="0" w:line="420" w:lineRule="atLeast"/>
      <w:ind w:firstLine="480"/>
    </w:pPr>
    <w:rPr>
      <w:rFonts w:hint="eastAsia" w:ascii="楷体" w:hAnsi="楷体" w:eastAsia="楷体"/>
      <w:sz w:val="24"/>
      <w:szCs w:val="24"/>
    </w:rPr>
  </w:style>
  <w:style w:type="paragraph" w:customStyle="1" w:styleId="26">
    <w:name w:val="宋体段落"/>
    <w:basedOn w:val="25"/>
    <w:unhideWhenUsed/>
    <w:qFormat/>
    <w:uiPriority w:val="99"/>
    <w:pPr>
      <w:spacing w:beforeLines="0" w:afterLines="0"/>
    </w:pPr>
    <w:rPr>
      <w:rFonts w:hint="eastAsia" w:ascii="仿宋_GB2312" w:hAnsi="仿宋_GB2312" w:eastAsia="仿宋_GB2312"/>
      <w:spacing w:val="-12"/>
      <w:sz w:val="24"/>
      <w:szCs w:val="24"/>
    </w:rPr>
  </w:style>
  <w:style w:type="character" w:customStyle="1" w:styleId="27">
    <w:name w:val="黑体小标题"/>
    <w:unhideWhenUsed/>
    <w:qFormat/>
    <w:uiPriority w:val="99"/>
    <w:rPr>
      <w:rFonts w:hint="eastAsia" w:ascii="黑体" w:hAnsi="黑体" w:eastAsia="黑体"/>
      <w:sz w:val="24"/>
      <w:szCs w:val="24"/>
    </w:rPr>
  </w:style>
  <w:style w:type="character" w:customStyle="1" w:styleId="28">
    <w:name w:val="楷体小标题"/>
    <w:basedOn w:val="27"/>
    <w:unhideWhenUsed/>
    <w:qFormat/>
    <w:uiPriority w:val="99"/>
    <w:rPr>
      <w:rFonts w:hint="eastAsia" w:ascii="楷体" w:hAnsi="楷体" w:eastAsia="楷体"/>
      <w:sz w:val="24"/>
      <w:szCs w:val="24"/>
    </w:rPr>
  </w:style>
  <w:style w:type="character" w:customStyle="1" w:styleId="29">
    <w:name w:val="标题 4 Char"/>
    <w:link w:val="5"/>
    <w:qFormat/>
    <w:uiPriority w:val="0"/>
    <w:rPr>
      <w:rFonts w:ascii="楷体" w:hAnsi="楷体" w:eastAsia="楷体"/>
      <w:sz w:val="24"/>
    </w:rPr>
  </w:style>
  <w:style w:type="character" w:customStyle="1" w:styleId="30">
    <w:name w:val="目录样式1"/>
    <w:unhideWhenUsed/>
    <w:qFormat/>
    <w:uiPriority w:val="99"/>
    <w:rPr>
      <w:rFonts w:hint="eastAsia" w:ascii="宋体" w:hAnsi="宋体" w:eastAsia="宋体"/>
      <w:sz w:val="20"/>
      <w:szCs w:val="24"/>
    </w:rPr>
  </w:style>
  <w:style w:type="character" w:customStyle="1" w:styleId="31">
    <w:name w:val="目录样式2"/>
    <w:unhideWhenUsed/>
    <w:qFormat/>
    <w:uiPriority w:val="99"/>
    <w:rPr>
      <w:rFonts w:hint="eastAsia" w:ascii="楷体" w:hAnsi="楷体" w:eastAsia="楷体"/>
      <w:sz w:val="20"/>
      <w:szCs w:val="24"/>
    </w:rPr>
  </w:style>
  <w:style w:type="paragraph" w:customStyle="1" w:styleId="32">
    <w:name w:val="文中大标"/>
    <w:basedOn w:val="1"/>
    <w:next w:val="1"/>
    <w:qFormat/>
    <w:uiPriority w:val="0"/>
    <w:pPr>
      <w:keepNext/>
      <w:keepLines/>
      <w:spacing w:beforeLines="0" w:afterLines="0" w:line="540" w:lineRule="exact"/>
      <w:ind w:firstLine="0" w:firstLineChars="0"/>
      <w:jc w:val="center"/>
      <w:outlineLvl w:val="8"/>
    </w:pPr>
    <w:rPr>
      <w:rFonts w:hint="eastAsia" w:ascii="方正大标宋_GBK" w:hAnsi="方正大标宋_GBK" w:eastAsia="方正小标宋_GBK" w:cs="方正大标宋_GBK"/>
      <w:kern w:val="44"/>
      <w:sz w:val="42"/>
    </w:rPr>
  </w:style>
  <w:style w:type="paragraph" w:customStyle="1" w:styleId="33">
    <w:name w:val="封皮大标"/>
    <w:basedOn w:val="1"/>
    <w:next w:val="1"/>
    <w:qFormat/>
    <w:uiPriority w:val="0"/>
    <w:pPr>
      <w:keepNext/>
      <w:keepLines/>
      <w:spacing w:beforeLines="0" w:afterLines="0" w:line="240" w:lineRule="auto"/>
      <w:ind w:firstLine="0" w:firstLineChars="0"/>
      <w:jc w:val="center"/>
      <w:outlineLvl w:val="8"/>
    </w:pPr>
    <w:rPr>
      <w:rFonts w:hint="eastAsia" w:ascii="方正大标宋_GBK" w:hAnsi="方正大标宋_GBK" w:eastAsia="方正小标宋_GBK" w:cs="方正大标宋_GBK"/>
      <w:b/>
      <w:bCs/>
      <w:color w:val="FF0000"/>
      <w:spacing w:val="108"/>
      <w:kern w:val="44"/>
      <w:sz w:val="56"/>
      <w:szCs w:val="56"/>
    </w:rPr>
  </w:style>
  <w:style w:type="paragraph" w:customStyle="1" w:styleId="34">
    <w:name w:val="封皮2标"/>
    <w:basedOn w:val="1"/>
    <w:next w:val="1"/>
    <w:qFormat/>
    <w:uiPriority w:val="0"/>
    <w:pPr>
      <w:keepNext/>
      <w:keepLines/>
      <w:spacing w:beforeLines="0" w:afterLines="0" w:line="240" w:lineRule="auto"/>
      <w:ind w:firstLine="0" w:firstLineChars="0"/>
      <w:jc w:val="center"/>
      <w:outlineLvl w:val="8"/>
    </w:pPr>
    <w:rPr>
      <w:rFonts w:hint="eastAsia" w:ascii="宋体" w:hAnsi="宋体" w:eastAsia="宋体"/>
      <w:color w:val="auto"/>
      <w:spacing w:val="-6"/>
    </w:rPr>
  </w:style>
  <w:style w:type="paragraph" w:customStyle="1" w:styleId="35">
    <w:name w:val="封皮3标"/>
    <w:basedOn w:val="1"/>
    <w:qFormat/>
    <w:uiPriority w:val="0"/>
    <w:pPr>
      <w:pBdr>
        <w:bottom w:val="single" w:color="auto" w:sz="4" w:space="0"/>
      </w:pBdr>
      <w:outlineLvl w:val="8"/>
    </w:pPr>
    <w:rPr>
      <w:rFonts w:hint="eastAsia" w:ascii="黑体" w:hAnsi="黑体" w:eastAsia="黑体" w:cs="黑体"/>
      <w:color w:val="auto"/>
      <w:spacing w:val="-6"/>
    </w:rPr>
  </w:style>
  <w:style w:type="paragraph" w:customStyle="1" w:styleId="36">
    <w:name w:val="封皮4标"/>
    <w:basedOn w:val="1"/>
    <w:next w:val="1"/>
    <w:qFormat/>
    <w:uiPriority w:val="0"/>
    <w:pPr>
      <w:keepNext/>
      <w:keepLines/>
      <w:spacing w:beforeLines="0" w:afterLines="0" w:line="240" w:lineRule="auto"/>
      <w:ind w:firstLine="0" w:firstLineChars="0"/>
      <w:jc w:val="center"/>
      <w:outlineLvl w:val="8"/>
    </w:pPr>
    <w:rPr>
      <w:rFonts w:hint="eastAsia" w:ascii="方正粗倩简体" w:hAnsi="方正粗倩简体" w:eastAsia="方正粗倩简体" w:cs="方正粗倩简体"/>
      <w:color w:val="auto"/>
      <w:spacing w:val="-6"/>
      <w:sz w:val="50"/>
      <w:szCs w:val="50"/>
    </w:rPr>
  </w:style>
  <w:style w:type="paragraph" w:customStyle="1" w:styleId="37">
    <w:name w:val="封皮5标"/>
    <w:basedOn w:val="1"/>
    <w:next w:val="1"/>
    <w:qFormat/>
    <w:uiPriority w:val="0"/>
    <w:pPr>
      <w:keepNext/>
      <w:keepLines/>
      <w:spacing w:beforeLines="0" w:afterLines="0" w:line="240" w:lineRule="auto"/>
      <w:ind w:firstLine="0" w:firstLineChars="0"/>
      <w:jc w:val="left"/>
      <w:outlineLvl w:val="8"/>
    </w:pPr>
    <w:rPr>
      <w:rFonts w:hint="eastAsia" w:eastAsia="黑体"/>
      <w:color w:val="FF0000"/>
      <w:spacing w:val="-6"/>
      <w:sz w:val="32"/>
    </w:rPr>
  </w:style>
  <w:style w:type="character" w:customStyle="1" w:styleId="38">
    <w:name w:val="标题 3 Char"/>
    <w:link w:val="4"/>
    <w:qFormat/>
    <w:uiPriority w:val="0"/>
    <w:rPr>
      <w:rFonts w:ascii="黑体" w:hAnsi="黑体" w:eastAsia="黑体"/>
      <w:sz w:val="26"/>
    </w:rPr>
  </w:style>
  <w:style w:type="paragraph" w:customStyle="1" w:styleId="39">
    <w:name w:val="图片样式"/>
    <w:basedOn w:val="1"/>
    <w:qFormat/>
    <w:uiPriority w:val="0"/>
    <w:pPr>
      <w:jc w:val="center"/>
    </w:pPr>
  </w:style>
  <w:style w:type="paragraph" w:customStyle="1" w:styleId="40">
    <w:name w:val="图片"/>
    <w:basedOn w:val="1"/>
    <w:qFormat/>
    <w:uiPriority w:val="0"/>
  </w:style>
  <w:style w:type="paragraph" w:customStyle="1" w:styleId="41">
    <w:name w:val="Body Text First Indent1"/>
    <w:basedOn w:val="10"/>
    <w:qFormat/>
    <w:uiPriority w:val="0"/>
    <w:pPr>
      <w:spacing w:after="0"/>
      <w:ind w:firstLine="420" w:firstLineChars="100"/>
    </w:pPr>
    <w:rPr>
      <w:rFonts w:ascii="Times New Roman" w:hAnsi="Times New Roman"/>
      <w:szCs w:val="22"/>
    </w:rPr>
  </w:style>
  <w:style w:type="paragraph" w:customStyle="1" w:styleId="42">
    <w:name w:val="Body text|2"/>
    <w:basedOn w:val="1"/>
    <w:qFormat/>
    <w:uiPriority w:val="0"/>
    <w:pPr>
      <w:spacing w:after="80" w:line="630" w:lineRule="exact"/>
      <w:ind w:firstLine="640"/>
      <w:jc w:val="left"/>
    </w:pPr>
    <w:rPr>
      <w:rFonts w:ascii="宋体" w:hAnsi="宋体"/>
      <w:color w:val="000000"/>
      <w:kern w:val="0"/>
      <w:sz w:val="32"/>
      <w:szCs w:val="32"/>
      <w:lang w:val="zh-TW" w:eastAsia="zh-TW"/>
    </w:rPr>
  </w:style>
  <w:style w:type="paragraph" w:customStyle="1" w:styleId="43">
    <w:name w:val="Other|1"/>
    <w:basedOn w:val="1"/>
    <w:qFormat/>
    <w:uiPriority w:val="0"/>
    <w:pPr>
      <w:spacing w:line="442" w:lineRule="auto"/>
      <w:ind w:firstLine="400"/>
      <w:jc w:val="left"/>
    </w:pPr>
    <w:rPr>
      <w:rFonts w:ascii="宋体" w:hAnsi="宋体"/>
      <w:color w:val="000000"/>
      <w:kern w:val="0"/>
      <w:sz w:val="30"/>
      <w:szCs w:val="30"/>
      <w:lang w:val="zh-TW" w:eastAsia="zh-TW"/>
    </w:rPr>
  </w:style>
  <w:style w:type="paragraph" w:customStyle="1" w:styleId="44">
    <w:name w:val="Body text|1"/>
    <w:basedOn w:val="1"/>
    <w:qFormat/>
    <w:uiPriority w:val="0"/>
    <w:pPr>
      <w:spacing w:line="442" w:lineRule="auto"/>
      <w:ind w:firstLine="400"/>
      <w:jc w:val="left"/>
    </w:pPr>
    <w:rPr>
      <w:rFonts w:ascii="宋体" w:hAnsi="宋体"/>
      <w:color w:val="000000"/>
      <w:kern w:val="0"/>
      <w:sz w:val="30"/>
      <w:szCs w:val="30"/>
      <w:lang w:val="zh-TW" w:eastAsia="zh-TW"/>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microsoft.com/office/2006/relationships/keyMapCustomizations" Target="customizations.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72</Pages>
  <Words>54023</Words>
  <Characters>55108</Characters>
  <Lines>0</Lines>
  <Paragraphs>0</Paragraphs>
  <TotalTime>47</TotalTime>
  <ScaleCrop>false</ScaleCrop>
  <LinksUpToDate>false</LinksUpToDate>
  <CharactersWithSpaces>55612</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2022-07-30T08:45:00Z</dcterms:created>
  <dc:creator>京南印务</dc:creator>
  <cp:lastModifiedBy>京南印务</cp:lastModifiedBy>
  <cp:lastPrinted>2022-09-19T09:12:00Z</cp:lastPrinted>
  <dcterms:modified xsi:type="dcterms:W3CDTF">2022-12-09T08:55:13Z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698344DDE02440EDB81DAC2AD7C85DEB</vt:lpwstr>
  </property>
</Properties>
</file>