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当事人：原平烨桓再生资源综合利用有限公司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91140981MA7YL88758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法定代表人姓名：孙林建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原平经济技术开发区液压路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该公司正在调试生产，未办理排污许可证，</w:t>
      </w:r>
      <w:r>
        <w:rPr>
          <w:rFonts w:hint="eastAsia" w:ascii="仿宋" w:hAnsi="仿宋" w:eastAsia="仿宋" w:cs="仿宋"/>
          <w:sz w:val="32"/>
          <w:szCs w:val="32"/>
        </w:rPr>
        <w:t>除尘、脱硫脱硝系统正在运行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2022年9月20日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《建设项目竣工环境保护验收暂行办法》第六条第二款、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《排污许可管理条例》第二条第一款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年9月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《行政处罚事先告知书》（忻环原平罚告字［2022］24号）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《行政处罚听证告知书》（忻环原平听告字［2022］24号）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《排污许可管理条例》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第三十三条第一款第一项并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参考江西省生态环境厅《排污许可管理条例》行政处罚裁量权细化标准（征求意见稿）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责令改正违法行为；罚款：叁拾壹万元整。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autoSpaceDE w:val="0"/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134" w:right="1162" w:bottom="1134" w:left="116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304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1505</Words>
  <Characters>1654</Characters>
  <Lines>0</Lines>
  <Paragraphs>0</Paragraphs>
  <TotalTime>2</TotalTime>
  <ScaleCrop>false</ScaleCrop>
  <LinksUpToDate>false</LinksUpToDate>
  <CharactersWithSpaces>1993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2022-12-06T02:50:31Z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79049F8D9E8C4D36877A7439467F474E</vt:lpwstr>
  </property>
</Properties>
</file>