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880" w:firstLineChars="900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当事人：原平市金强型煤有限公司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911409815733582027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法定代表人姓名：李龙彬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原平市段家堡乡段家堡村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部分原煤露天堆放，未进行密闭，易产生扬尘污染。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9月6日整改情况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年9月6日以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58B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2022-10-20T03:06:36Z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D09A1BFD47934E47906C565C8D45C158</vt:lpwstr>
  </property>
</Properties>
</file>