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firstLine="2240" w:firstLineChars="7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忻环原平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罚字［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号</w:t>
      </w:r>
    </w:p>
    <w:p>
      <w:pPr>
        <w:autoSpaceDE w:val="0"/>
        <w:spacing w:line="56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</w:p>
    <w:p>
      <w:pPr>
        <w:autoSpaceDE w:val="0"/>
        <w:spacing w:line="56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eastAsia="zh-CN"/>
        </w:rPr>
        <w:t>行政处罚决定书</w:t>
      </w:r>
    </w:p>
    <w:p>
      <w:pPr>
        <w:autoSpaceDE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当事人：原平市旺龙建材有限公司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91140981068027402G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法定代表人姓名：刘志英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原平市同川镇东岗村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经调查，我局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发现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未建立环境管理台账记录制度。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以上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事实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2022年8月29日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2022年8月31日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调查报告等。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你单位的上述行为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违反了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《排污许可管理条例》第二十一条第一款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我局于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2022年8月31日以《行政处罚事先告知书》（忻环原平罚告字［2022］21号）告知你单位陈述申辩权，以《行政处罚听证告知书》（忻环原平听告字［2022］21号）告知你单位听证申请权。你单位未在规定时限内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向我局提出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陈述申辩和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听证申请。以上事实，有我局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31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依据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《排污许可管理条例》第三十七条第一款第一项之规定和《山西省生态环境系统行政处罚自由裁量基准》（试行）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之相关规定，我局对你单位作出如下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决定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责令改正违法行为；罚款：陆仟元整。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你单位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于接到本处罚决定书之日起十五日内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将罚款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缴至指定银行和帐号。你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收款银行：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中国工商银行股份有限公司原平支行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 xml:space="preserve">    帐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 xml:space="preserve">    我局委托原平市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生态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环境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保护综合行政执法队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对你公司改正违法行为和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如不服本处罚决定，可在接到决定书之日起六十日内向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忻州市人民政府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申请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行政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复议，也可在六个月内向人民法院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提起行政诉讼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逾期不申请复议,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不提起行政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 xml:space="preserve">地址：原平市京原南路1248号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邮编：034100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一份</w:t>
      </w: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仿宋" w:hAnsi="仿宋" w:eastAsia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</w:p>
    <w:sectPr>
      <w:pgSz w:w="11906" w:h="16838"/>
      <w:pgMar w:top="1134" w:right="1729" w:bottom="1134" w:left="172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7198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2022-09-29T09:45:54Z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AFD48E9C6AAF48A3836DA0196CF4EEC6</vt:lpwstr>
  </property>
</Properties>
</file>