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86" w:type="dxa"/>
        <w:tblInd w:w="0" w:type="dxa"/>
        <w:tblBorders>
          <w:top w:val="single" w:color="DCDCDC" w:sz="2" w:space="0"/>
          <w:left w:val="single" w:color="DCDCDC" w:sz="2" w:space="0"/>
          <w:bottom w:val="single" w:color="DCDCDC" w:sz="6" w:space="0"/>
          <w:right w:val="single" w:color="DCDCD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8577"/>
        <w:gridCol w:w="13"/>
        <w:gridCol w:w="2077"/>
        <w:gridCol w:w="83"/>
        <w:gridCol w:w="1646"/>
      </w:tblGrid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1300-D-00100-140981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行政征收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水土保持补偿费征收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【法律】《中华人民共和国水土保持法》 第三十二条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【规范性文件】《水土保持补偿费征收使用管理办法》（财政部、国家发改委、水利部等财综[2014]8号）第六条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1.受理责任：公示公告水土保持补偿费征收依据、标准和征收方式。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2.审核责任：负责征收的水行政主管部门审核确定水土保持补偿费征收额。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3.决定责任：负责征收的水行政主管部门填写“一般缴款书”和缴费通知单，一并送达缴纳义务人。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4.事后监管责任：加强执法巡查，对逾期不履行缴费义务的当事人，制作催告书，责令限期缴纳。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5.其他：法律法规规章规定应履行的责任。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参照《行政许可法》第七十一条～第七十七条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《中国共产党纪律处分条例》第八十五～第一百二十九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原平市水土保持监督监测站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原平市水利局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2" name="图片 1" descr="行政征收-水土保持补偿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行政征收-水土保持补偿费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6191250" cy="8029575"/>
                  <wp:effectExtent l="0" t="0" r="0" b="9525"/>
                  <wp:docPr id="3" name="图片 2" descr="行政征收征用类-水土保持补偿费征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行政征收征用类-水土保持补偿费征收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802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1300-D-00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行政征收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水资源费征收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【法律】《中华人民共和国水法》 第四十八条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 xml:space="preserve"> 【行政法规】《取水许可和水资源费征收管理条例》（国务院令第460号） 第二条 第二十八条 第三十一条     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【地方性法规】《山西省水资源管理条例》 第三十三条 第四十六条 第四十七条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【地方性法规】《山西省泉域水资源保护条例》 第二十三条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1.受理责任：公示公告水土保持补偿费征收依据、标准和征收方式。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2.审核责任：负责征收的水行政主管部门审核确定水土保持补偿费征收额。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3.决定责任：负责征收的水行政主管部门填写“一般缴款书”和缴费通知单，一并送达缴纳义务人。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4.事后监管责任：加强执法巡查，对逾期不履行缴费义务的当事人，制作催告书，责令限期缴纳。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5.其他：法律法规规章规定应履行的责任。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参照《行政许可法》第七十一条～第七十七条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《中国共产党纪律处分条例》第八十五～第一百二十九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原平市水资源管理委员会办公室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原平市水利局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4" name="图片 3" descr="行政征收-水资源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行政征收-水资源费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6134100" cy="7820025"/>
                  <wp:effectExtent l="0" t="0" r="0" b="9525"/>
                  <wp:docPr id="1" name="图片 4" descr="行政征收类—水资源费征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行政征收类—水资源费征收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0" cy="782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1300-D-00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行政征收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紧急防汛期征用物资、设备、交通运输工具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【法律】 《中华人民共和国防洪法》 第四十五条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 xml:space="preserve">制定方案责任：根据相关政策法规，结合汛情的发展变化趋势拟定征用方案。 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 xml:space="preserve">2.决定责任：作出征用决定并及时送达被征用单位或个人。 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3.实施责任：依据征用决定实施征用。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4.事后监管责任：在征用后将征用物品返还被征用单位或个人。依据相关政策法规给予补偿。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5.其他：法律法规规章规定应履行的责任。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《防洪法》第六十五条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《防汛条例》（国务院令第441号）第四十三条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《中国共产党纪律处分条例》第八十五～第一百二十九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原平市防汛抗旱指挥部办公室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市防汛抗旱指挥部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8" name="图片 5" descr="行政征收-防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行政征收-防汛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6267450" cy="8086725"/>
                  <wp:effectExtent l="0" t="0" r="0" b="9525"/>
                  <wp:docPr id="7" name="图片 6" descr="行政征收征用类-“紧急防汛期征用物资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行政征收征用类-“紧急防汛期征用物资、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808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职权编码</w:t>
            </w:r>
          </w:p>
        </w:tc>
        <w:tc>
          <w:tcPr>
            <w:tcW w:w="8577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1300-D-00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00-140981</w:t>
            </w:r>
          </w:p>
        </w:tc>
        <w:tc>
          <w:tcPr>
            <w:tcW w:w="20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职权类型</w:t>
            </w:r>
          </w:p>
        </w:tc>
        <w:tc>
          <w:tcPr>
            <w:tcW w:w="1729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行政征收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职权名称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紧急</w:t>
            </w: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抗旱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期征用物资、设备、交通运输工具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子　　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职权依据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【行政法规】《抗旱条例》（国务院令第552号） 第四十七条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责任事项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Cs w:val="21"/>
              </w:rPr>
              <w:t>1.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 xml:space="preserve">制定方案责任：根据相关政策法规，结合汛情的发展变化趋势拟定征用方案。 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 xml:space="preserve">2.决定责任：作出征用决定并及时送达被征用单位或个人。 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3.实施责任：依据征用决定实施征用。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4.事后监管责任：在征用后将征用物品返还被征用单位或个人。依据相关政策法规给予补偿。</w:t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5.其他：法律法规规章规定应履行的责任。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问责依据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《抗旱条例》（国务院令第552号）第五十八条 第五十九条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《中国共产党纪律处分条例》第八十五～第一百二十九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其他违反法律法规规章文件规定的行为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实施主体</w:t>
            </w:r>
          </w:p>
        </w:tc>
        <w:tc>
          <w:tcPr>
            <w:tcW w:w="859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原平市防汛抗旱指挥部办公室</w:t>
            </w:r>
          </w:p>
        </w:tc>
        <w:tc>
          <w:tcPr>
            <w:tcW w:w="2160" w:type="dxa"/>
            <w:gridSpan w:val="2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责任主体</w:t>
            </w:r>
          </w:p>
        </w:tc>
        <w:tc>
          <w:tcPr>
            <w:tcW w:w="1646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</w:pPr>
            <w:r>
              <w:rPr>
                <w:rFonts w:ascii="微软雅黑" w:hAnsi="微软雅黑" w:eastAsia="微软雅黑"/>
                <w:color w:val="000000"/>
                <w:kern w:val="0"/>
                <w:szCs w:val="21"/>
              </w:rPr>
              <w:t>市防汛抗旱指挥部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7559040" cy="10692130"/>
                  <wp:effectExtent l="0" t="0" r="3810" b="13970"/>
                  <wp:docPr id="6" name="图片 7" descr="行政征收-抗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 descr="行政征收-抗旱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6" w:space="0"/>
            <w:right w:val="single" w:color="DCDCD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6" w:hRule="atLeast"/>
        </w:trPr>
        <w:tc>
          <w:tcPr>
            <w:tcW w:w="1490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廉政风险防控图</w:t>
            </w:r>
          </w:p>
        </w:tc>
        <w:tc>
          <w:tcPr>
            <w:tcW w:w="12396" w:type="dxa"/>
            <w:gridSpan w:val="5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drawing>
                <wp:inline distT="0" distB="0" distL="114300" distR="114300">
                  <wp:extent cx="6134100" cy="7905750"/>
                  <wp:effectExtent l="0" t="0" r="0" b="0"/>
                  <wp:docPr id="5" name="图片 8" descr="行政征收征用类-“紧急抗旱期征用物资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8" descr="行政征收征用类-“紧急抗旱期征用物资、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0" cy="790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decimal"/>
      <w:suff w:val="nothing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F5BCB"/>
    <w:rsid w:val="6D535020"/>
    <w:rsid w:val="79D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2018-08-03T03:29:00Z</dcterms:created>
  <dc:creator>Administrator</dc:creator>
  <cp:lastModifiedBy>Administrator</cp:lastModifiedBy>
  <dcterms:modified xsi:type="dcterms:W3CDTF">2018-08-03T03:29:25Z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