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3780"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79"/>
        <w:gridCol w:w="8512"/>
        <w:gridCol w:w="2074"/>
        <w:gridCol w:w="171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0500-Z-00100-140981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全市性社会组织评估</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【部门规章】</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《社会组织评估管理办法》（2010年民政部令第39号)  第五条 第九条 第十六条 第十七条 第三十条 第三十二条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1.受理责任：发布社会组织评估通知文件；一次性告知补正材料；依法受理或不予受理（不予受理的，应当告知理由）。 2.审核责任：根据评估原则、标准、条件、程序，对申报评估材料进行全面审核评估。 3.决定责任：做出评估等级评定决定，对评估等级名单进行公示。公示期间，对举报投诉进行依法处理。 4.执行责任：公示期满，公开下发文件，颁发牌匾和证书。 5.其他：法律法规规章规定应履行的责任。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参照《行政许可法》第七十条-第七十七条</w:t>
            </w:r>
          </w:p>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《民政部门实施行政许可办法》第五十一条-第五十五条</w:t>
            </w:r>
          </w:p>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《山西省行政执法条例》第四十条-第四十二条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办公室</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230370" cy="5274310"/>
                  <wp:effectExtent l="0" t="0" r="17780" b="254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4"/>
                          <a:stretch>
                            <a:fillRect/>
                          </a:stretch>
                        </pic:blipFill>
                        <pic:spPr>
                          <a:xfrm>
                            <a:off x="0" y="0"/>
                            <a:ext cx="4230370" cy="52743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109085" cy="5266690"/>
                  <wp:effectExtent l="0" t="0" r="5715" b="10160"/>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5"/>
                          <a:stretch>
                            <a:fillRect/>
                          </a:stretch>
                        </pic:blipFill>
                        <pic:spPr>
                          <a:xfrm>
                            <a:off x="0" y="0"/>
                            <a:ext cx="4109085" cy="526669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0500-Z-00200-140981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福利彩票公益金资助项目初审与上报</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【地方规章】</w:t>
            </w:r>
          </w:p>
          <w:p>
            <w:pPr>
              <w:widowControl/>
              <w:ind w:firstLine="525" w:firstLineChars="250"/>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山西省财政厅关于印发《彩票公益金管理办法》的通知（晋财综〔2008〕87号）第十五条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1.审核责任:审核立项条件，核实项目是否公益性质。</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2.上报责任:完善资料，上报忻州市民政局。</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3..其他:法律法规规章规定应履行的责任。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救灾救济股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175635" cy="5271770"/>
                  <wp:effectExtent l="0" t="0" r="5715" b="508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6"/>
                          <a:stretch>
                            <a:fillRect/>
                          </a:stretch>
                        </pic:blipFill>
                        <pic:spPr>
                          <a:xfrm>
                            <a:off x="0" y="0"/>
                            <a:ext cx="3175635"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083685" cy="5272405"/>
                  <wp:effectExtent l="0" t="0" r="12065" b="4445"/>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7"/>
                          <a:stretch>
                            <a:fillRect/>
                          </a:stretch>
                        </pic:blipFill>
                        <pic:spPr>
                          <a:xfrm>
                            <a:off x="0" y="0"/>
                            <a:ext cx="4083685" cy="527240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0500-Z-00300-140981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组织退出现役自主就业退役士兵参加职业教育、技能培训</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《退役士兵安置条例》（国务院 中央军事委员会令 第608号）第二十一条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1、制定方案责任：依据自主就业退役士兵的报名人数、和培训意愿科学合理制定培训方案。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2、组织培训培训责任：承训院校在培训期间管理好学员的学习和生活等事宜</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3、获取职业资格责任：培训学员获证率达95%</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4、推荐就业责任：推荐就业率达75%.</w:t>
            </w:r>
          </w:p>
          <w:p>
            <w:pPr>
              <w:widowControl/>
              <w:tabs>
                <w:tab w:val="left" w:pos="975"/>
              </w:tabs>
              <w:jc w:val="left"/>
              <w:textAlignment w:val="center"/>
              <w:rPr>
                <w:rFonts w:hint="eastAsia" w:ascii="微软雅黑" w:hAnsi="微软雅黑" w:eastAsia="仿宋_GB2312" w:cs="微软雅黑"/>
                <w:b w:val="0"/>
                <w:i w:val="0"/>
                <w:caps w:val="0"/>
                <w:color w:val="000000"/>
                <w:spacing w:val="0"/>
                <w:sz w:val="21"/>
                <w:szCs w:val="21"/>
                <w:lang w:eastAsia="zh-CN"/>
              </w:rPr>
            </w:pPr>
            <w:r>
              <w:rPr>
                <w:rFonts w:hint="eastAsia" w:ascii="仿宋_GB2312" w:hAnsi="宋体" w:eastAsia="仿宋_GB2312" w:cs="仿宋_GB2312"/>
                <w:color w:val="000000"/>
                <w:kern w:val="0"/>
                <w:szCs w:val="21"/>
              </w:rPr>
              <w:t>5、其他：法律法规规章规定应履行的责</w:t>
            </w:r>
            <w:r>
              <w:rPr>
                <w:rFonts w:hint="eastAsia" w:ascii="仿宋_GB2312" w:hAnsi="宋体" w:eastAsia="仿宋_GB2312" w:cs="仿宋_GB2312"/>
                <w:color w:val="000000"/>
                <w:kern w:val="0"/>
                <w:szCs w:val="21"/>
                <w:lang w:eastAsia="zh-CN"/>
              </w:rPr>
              <w:t>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《行政机关公务员处分条例》第十九条-第二十八条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504565" cy="5267960"/>
                  <wp:effectExtent l="0" t="0" r="635" b="8890"/>
                  <wp:docPr id="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pic:cNvPicPr>
                            <a:picLocks noChangeAspect="1"/>
                          </pic:cNvPicPr>
                        </pic:nvPicPr>
                        <pic:blipFill>
                          <a:blip r:embed="rId8"/>
                          <a:stretch>
                            <a:fillRect/>
                          </a:stretch>
                        </pic:blipFill>
                        <pic:spPr>
                          <a:xfrm>
                            <a:off x="0" y="0"/>
                            <a:ext cx="3504565" cy="526796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259580" cy="5273040"/>
                  <wp:effectExtent l="0" t="0" r="7620" b="3810"/>
                  <wp:docPr id="9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5"/>
                          <pic:cNvPicPr>
                            <a:picLocks noChangeAspect="1"/>
                          </pic:cNvPicPr>
                        </pic:nvPicPr>
                        <pic:blipFill>
                          <a:blip r:embed="rId9"/>
                          <a:stretch>
                            <a:fillRect/>
                          </a:stretch>
                        </pic:blipFill>
                        <pic:spPr>
                          <a:xfrm>
                            <a:off x="0" y="0"/>
                            <a:ext cx="4259580" cy="527304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0500-Z-00400-140981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退役士兵安置</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【行政法规】</w:t>
            </w:r>
          </w:p>
          <w:p>
            <w:pPr>
              <w:widowControl/>
              <w:ind w:firstLine="420" w:firstLineChars="200"/>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《退役士兵安置条例》（国务院、中央军委令第608号）第五条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1.受理责任:依法受理或不予受理，并一次性告之不予受理理由或需补充提供的相关材料目录。</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2.审查责任:审核提供的材料。</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w:t>
            </w:r>
            <w:r>
              <w:rPr>
                <w:rFonts w:hint="eastAsia" w:ascii="仿宋_GB2312" w:hAnsi="仿宋_GB2312" w:eastAsia="仿宋_GB2312" w:cs="仿宋_GB2312"/>
                <w:color w:val="000000"/>
                <w:kern w:val="0"/>
                <w:szCs w:val="21"/>
              </w:rPr>
              <w:t>安置</w:t>
            </w:r>
            <w:r>
              <w:rPr>
                <w:rFonts w:hint="eastAsia" w:ascii="仿宋_GB2312" w:hAnsi="宋体" w:eastAsia="仿宋_GB2312" w:cs="仿宋_GB2312"/>
                <w:color w:val="000000"/>
                <w:kern w:val="0"/>
                <w:szCs w:val="21"/>
              </w:rPr>
              <w:t>责任：根据政府下达的安排任务进行安置。</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bCs/>
                <w:color w:val="000000"/>
                <w:kern w:val="0"/>
                <w:szCs w:val="21"/>
              </w:rPr>
            </w:pPr>
            <w:r>
              <w:rPr>
                <w:rFonts w:hint="eastAsia" w:ascii="仿宋_GB2312" w:hAnsi="仿宋_GB2312" w:eastAsia="仿宋_GB2312" w:cs="仿宋_GB2312"/>
                <w:color w:val="000000"/>
                <w:kern w:val="0"/>
                <w:szCs w:val="21"/>
              </w:rPr>
              <w:t>《退役士兵安置条例》</w:t>
            </w:r>
            <w:r>
              <w:rPr>
                <w:rFonts w:hint="eastAsia" w:ascii="仿宋_GB2312" w:hAnsi="宋体" w:eastAsia="仿宋_GB2312" w:cs="仿宋_GB2312"/>
                <w:bCs/>
                <w:color w:val="000000"/>
                <w:kern w:val="0"/>
                <w:szCs w:val="21"/>
              </w:rPr>
              <w:t>第四十九条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059430" cy="5268595"/>
                  <wp:effectExtent l="0" t="0" r="7620" b="8255"/>
                  <wp:docPr id="9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6"/>
                          <pic:cNvPicPr>
                            <a:picLocks noChangeAspect="1"/>
                          </pic:cNvPicPr>
                        </pic:nvPicPr>
                        <pic:blipFill>
                          <a:blip r:embed="rId10"/>
                          <a:stretch>
                            <a:fillRect/>
                          </a:stretch>
                        </pic:blipFill>
                        <pic:spPr>
                          <a:xfrm>
                            <a:off x="0" y="0"/>
                            <a:ext cx="3059430" cy="526859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297045" cy="5267960"/>
                  <wp:effectExtent l="0" t="0" r="8255" b="8890"/>
                  <wp:docPr id="9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7"/>
                          <pic:cNvPicPr>
                            <a:picLocks noChangeAspect="1"/>
                          </pic:cNvPicPr>
                        </pic:nvPicPr>
                        <pic:blipFill>
                          <a:blip r:embed="rId11"/>
                          <a:stretch>
                            <a:fillRect/>
                          </a:stretch>
                        </pic:blipFill>
                        <pic:spPr>
                          <a:xfrm>
                            <a:off x="0" y="0"/>
                            <a:ext cx="4297045" cy="526796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0500-Z-00500-140981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评定（追认）烈士的初审与上报</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《烈士褒扬条例》（国务院令第601号）</w:t>
            </w:r>
            <w:r>
              <w:rPr>
                <w:rFonts w:hint="eastAsia" w:ascii="仿宋_GB2312" w:hAnsi="仿宋_GB2312" w:eastAsia="仿宋_GB2312" w:cs="仿宋_GB2312"/>
                <w:color w:val="000000"/>
                <w:kern w:val="0"/>
                <w:szCs w:val="21"/>
              </w:rPr>
              <w:t>第九条</w:t>
            </w:r>
            <w:r>
              <w:rPr>
                <w:rFonts w:hint="eastAsia" w:ascii="仿宋_GB2312" w:hAnsi="宋体" w:eastAsia="仿宋_GB2312" w:cs="仿宋_GB2312"/>
                <w:color w:val="000000"/>
                <w:kern w:val="0"/>
                <w:szCs w:val="21"/>
              </w:rPr>
              <w:t xml:space="preserve">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1.受理责任:依法受理或不予受理，并一次性告之不予受理理由或需补充提供的相关材料目录。</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2.审查责任:审核提供的材料并调查核实。</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3.上报责任:对初步审核符合条件的，</w:t>
            </w:r>
            <w:r>
              <w:rPr>
                <w:rFonts w:ascii="仿宋_GB2312" w:hAnsi="宋体" w:eastAsia="仿宋_GB2312" w:cs="仿宋_GB2312"/>
                <w:color w:val="000000"/>
                <w:kern w:val="0"/>
                <w:szCs w:val="21"/>
              </w:rPr>
              <w:t>提出评定烈士的报告</w:t>
            </w:r>
            <w:r>
              <w:rPr>
                <w:rFonts w:hint="eastAsia" w:ascii="仿宋_GB2312" w:hAnsi="宋体" w:eastAsia="仿宋_GB2312" w:cs="仿宋_GB2312"/>
                <w:color w:val="000000"/>
                <w:kern w:val="0"/>
                <w:szCs w:val="21"/>
              </w:rPr>
              <w:t>报</w:t>
            </w:r>
            <w:r>
              <w:rPr>
                <w:rFonts w:ascii="仿宋_GB2312" w:hAnsi="宋体" w:eastAsia="仿宋_GB2312" w:cs="仿宋_GB2312"/>
                <w:color w:val="000000"/>
                <w:kern w:val="0"/>
                <w:szCs w:val="21"/>
              </w:rPr>
              <w:t>本级人民政府审核</w:t>
            </w:r>
            <w:r>
              <w:rPr>
                <w:rFonts w:hint="eastAsia" w:ascii="仿宋_GB2312" w:hAnsi="宋体" w:eastAsia="仿宋_GB2312" w:cs="仿宋_GB2312"/>
                <w:color w:val="000000"/>
                <w:kern w:val="0"/>
                <w:szCs w:val="21"/>
              </w:rPr>
              <w:t>。对不符合条件的，解释原因。</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szCs w:val="21"/>
              </w:rPr>
            </w:pPr>
            <w:r>
              <w:rPr>
                <w:rFonts w:hint="eastAsia" w:ascii="仿宋_GB2312" w:hAnsi="仿宋_GB2312" w:eastAsia="仿宋_GB2312" w:cs="仿宋_GB2312"/>
                <w:szCs w:val="21"/>
              </w:rPr>
              <w:t>《烈士褒扬条例》</w:t>
            </w:r>
            <w:r>
              <w:rPr>
                <w:rFonts w:ascii="仿宋_GB2312" w:hAnsi="仿宋_GB2312" w:eastAsia="仿宋_GB2312" w:cs="仿宋_GB2312"/>
                <w:bCs/>
                <w:color w:val="000000"/>
                <w:kern w:val="0"/>
                <w:szCs w:val="21"/>
              </w:rPr>
              <w:t>第三十二条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798570" cy="5271135"/>
                  <wp:effectExtent l="0" t="0" r="11430" b="5715"/>
                  <wp:docPr id="9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8"/>
                          <pic:cNvPicPr>
                            <a:picLocks noChangeAspect="1"/>
                          </pic:cNvPicPr>
                        </pic:nvPicPr>
                        <pic:blipFill>
                          <a:blip r:embed="rId12"/>
                          <a:stretch>
                            <a:fillRect/>
                          </a:stretch>
                        </pic:blipFill>
                        <pic:spPr>
                          <a:xfrm>
                            <a:off x="0" y="0"/>
                            <a:ext cx="3798570" cy="527113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056380" cy="5266690"/>
                  <wp:effectExtent l="0" t="0" r="1270" b="10160"/>
                  <wp:docPr id="9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9"/>
                          <pic:cNvPicPr>
                            <a:picLocks noChangeAspect="1"/>
                          </pic:cNvPicPr>
                        </pic:nvPicPr>
                        <pic:blipFill>
                          <a:blip r:embed="rId13"/>
                          <a:stretch>
                            <a:fillRect/>
                          </a:stretch>
                        </pic:blipFill>
                        <pic:spPr>
                          <a:xfrm>
                            <a:off x="0" y="0"/>
                            <a:ext cx="4056380" cy="526669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0500-Z-00600-140981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伤残等级评定初审与上报，残疾证件换发、补发初审与上报</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6.1伤残等级评定审核</w:t>
            </w:r>
            <w:r>
              <w:rPr>
                <w:rFonts w:hint="eastAsia" w:ascii="仿宋_GB2312" w:hAnsi="仿宋_GB2312" w:eastAsia="仿宋_GB2312" w:cs="仿宋_GB2312"/>
                <w:szCs w:val="21"/>
              </w:rPr>
              <w:t>上报6.2残疾证件换发、补发审核上报</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napToGrid w:val="0"/>
              <w:jc w:val="left"/>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【部门规章】</w:t>
            </w:r>
          </w:p>
          <w:p>
            <w:pPr>
              <w:snapToGrid w:val="0"/>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《伤残抚恤管理办法》（民政部令第34号）第六条 第七条 第八条</w:t>
            </w:r>
          </w:p>
          <w:p>
            <w:pPr>
              <w:snapToGrid w:val="0"/>
              <w:jc w:val="left"/>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第十四条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1.受理责任:依法受理或不予受理，并一次性告之不予受理理由或需补充提供的相关材料目录。</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2.审查责任:审核提供的材料。</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上报责任:对初步审核符合因战因公负伤条件的，填写《评定、调整伤残等级审批表》，通知本人到忻州市民政部门指定的医疗卫生机构进行鉴定，依据医疗卫生专家小组出具的残疾等级医学鉴定意见对申请人拟定残疾等级，上报忻州市民政局。对不符合条件的，解释原因。</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790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drawing>
                <wp:inline distT="0" distB="0" distL="114300" distR="114300">
                  <wp:extent cx="3806190" cy="4126230"/>
                  <wp:effectExtent l="0" t="0" r="3810" b="7620"/>
                  <wp:docPr id="9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0"/>
                          <pic:cNvPicPr>
                            <a:picLocks noChangeAspect="1"/>
                          </pic:cNvPicPr>
                        </pic:nvPicPr>
                        <pic:blipFill>
                          <a:blip r:embed="rId14"/>
                          <a:stretch>
                            <a:fillRect/>
                          </a:stretch>
                        </pic:blipFill>
                        <pic:spPr>
                          <a:xfrm>
                            <a:off x="0" y="0"/>
                            <a:ext cx="3806190" cy="4126230"/>
                          </a:xfrm>
                          <a:prstGeom prst="rect">
                            <a:avLst/>
                          </a:prstGeom>
                          <a:noFill/>
                          <a:ln w="9525">
                            <a:noFill/>
                          </a:ln>
                        </pic:spPr>
                      </pic:pic>
                    </a:graphicData>
                  </a:graphic>
                </wp:inline>
              </w:drawing>
            </w:r>
            <w:r>
              <w:drawing>
                <wp:inline distT="0" distB="0" distL="114300" distR="114300">
                  <wp:extent cx="3093085" cy="4488815"/>
                  <wp:effectExtent l="0" t="0" r="12065" b="6985"/>
                  <wp:docPr id="10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1"/>
                          <pic:cNvPicPr>
                            <a:picLocks noChangeAspect="1"/>
                          </pic:cNvPicPr>
                        </pic:nvPicPr>
                        <pic:blipFill>
                          <a:blip r:embed="rId15"/>
                          <a:stretch>
                            <a:fillRect/>
                          </a:stretch>
                        </pic:blipFill>
                        <pic:spPr>
                          <a:xfrm>
                            <a:off x="0" y="0"/>
                            <a:ext cx="3093085" cy="448881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396740" cy="5267960"/>
                  <wp:effectExtent l="0" t="0" r="3810" b="8890"/>
                  <wp:docPr id="10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2"/>
                          <pic:cNvPicPr>
                            <a:picLocks noChangeAspect="1"/>
                          </pic:cNvPicPr>
                        </pic:nvPicPr>
                        <pic:blipFill>
                          <a:blip r:embed="rId16"/>
                          <a:stretch>
                            <a:fillRect/>
                          </a:stretch>
                        </pic:blipFill>
                        <pic:spPr>
                          <a:xfrm>
                            <a:off x="0" y="0"/>
                            <a:ext cx="4396740" cy="526796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0500-Z-00700-140981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伤残抚恤关系转移的</w:t>
            </w:r>
            <w:r>
              <w:rPr>
                <w:rFonts w:hint="eastAsia" w:ascii="仿宋_GB2312" w:hAnsi="仿宋_GB2312" w:eastAsia="仿宋_GB2312" w:cs="仿宋_GB2312"/>
                <w:szCs w:val="21"/>
              </w:rPr>
              <w:t>初审与上报</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napToGrid w:val="0"/>
              <w:jc w:val="left"/>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【部门规章】</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 xml:space="preserve">    《伤残抚恤管理办法》（民政部令第34号）第十九条 第二十条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1.受理责任:依法受理或不予受理，并一次性告之不予受理理由或需补充提供的相关材料目录。</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2.审查责任:审核提供的材料。</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3.上报责任:</w:t>
            </w:r>
            <w:r>
              <w:rPr>
                <w:rFonts w:hint="eastAsia"/>
                <w:color w:val="000000"/>
                <w:sz w:val="22"/>
                <w:szCs w:val="22"/>
                <w:shd w:val="clear" w:color="auto" w:fill="FFFFFF"/>
              </w:rPr>
              <w:t xml:space="preserve"> </w:t>
            </w:r>
            <w:r>
              <w:rPr>
                <w:rFonts w:hint="eastAsia" w:ascii="仿宋_GB2312" w:hAnsi="宋体" w:eastAsia="仿宋_GB2312" w:cs="仿宋_GB2312"/>
                <w:color w:val="000000"/>
                <w:kern w:val="0"/>
                <w:szCs w:val="21"/>
              </w:rPr>
              <w:t>经审查认为符合条件的，上报忻州市民政局。对不符合条件的，解释原因。</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078605" cy="5271770"/>
                  <wp:effectExtent l="0" t="0" r="17145" b="5080"/>
                  <wp:docPr id="10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3"/>
                          <pic:cNvPicPr>
                            <a:picLocks noChangeAspect="1"/>
                          </pic:cNvPicPr>
                        </pic:nvPicPr>
                        <pic:blipFill>
                          <a:blip r:embed="rId17"/>
                          <a:stretch>
                            <a:fillRect/>
                          </a:stretch>
                        </pic:blipFill>
                        <pic:spPr>
                          <a:xfrm>
                            <a:off x="0" y="0"/>
                            <a:ext cx="4078605"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220845" cy="5272405"/>
                  <wp:effectExtent l="0" t="0" r="8255" b="4445"/>
                  <wp:docPr id="10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4"/>
                          <pic:cNvPicPr>
                            <a:picLocks noChangeAspect="1"/>
                          </pic:cNvPicPr>
                        </pic:nvPicPr>
                        <pic:blipFill>
                          <a:blip r:embed="rId18"/>
                          <a:stretch>
                            <a:fillRect/>
                          </a:stretch>
                        </pic:blipFill>
                        <pic:spPr>
                          <a:xfrm>
                            <a:off x="0" y="0"/>
                            <a:ext cx="4220845" cy="527240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0500-Z-00800-140981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市级烈士纪念设施及新建、改扩建项目</w:t>
            </w:r>
            <w:r>
              <w:rPr>
                <w:rFonts w:hint="eastAsia" w:ascii="仿宋_GB2312" w:hAnsi="宋体" w:eastAsia="仿宋_GB2312" w:cs="仿宋_GB2312"/>
                <w:color w:val="000000"/>
                <w:kern w:val="0"/>
                <w:szCs w:val="21"/>
              </w:rPr>
              <w:t>的</w:t>
            </w:r>
            <w:r>
              <w:rPr>
                <w:rFonts w:hint="eastAsia" w:ascii="仿宋_GB2312" w:hAnsi="仿宋_GB2312" w:eastAsia="仿宋_GB2312" w:cs="仿宋_GB2312"/>
                <w:szCs w:val="21"/>
              </w:rPr>
              <w:t>初审与上报</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8.1市级烈士纪念设施</w:t>
            </w:r>
            <w:r>
              <w:rPr>
                <w:rFonts w:hint="eastAsia" w:ascii="仿宋_GB2312" w:hAnsi="宋体" w:eastAsia="仿宋_GB2312" w:cs="仿宋_GB2312"/>
                <w:color w:val="000000"/>
                <w:kern w:val="0"/>
                <w:szCs w:val="21"/>
              </w:rPr>
              <w:t>的</w:t>
            </w:r>
            <w:r>
              <w:rPr>
                <w:rFonts w:hint="eastAsia" w:ascii="仿宋_GB2312" w:hAnsi="仿宋_GB2312" w:eastAsia="仿宋_GB2312" w:cs="仿宋_GB2312"/>
                <w:szCs w:val="21"/>
              </w:rPr>
              <w:t>初审与上报</w:t>
            </w:r>
            <w:r>
              <w:rPr>
                <w:rFonts w:hint="eastAsia" w:ascii="仿宋_GB2312" w:hAnsi="仿宋_GB2312" w:eastAsia="仿宋_GB2312" w:cs="仿宋_GB2312"/>
                <w:color w:val="000000"/>
                <w:kern w:val="0"/>
                <w:szCs w:val="21"/>
              </w:rPr>
              <w:t>8.2市级烈士纪念设施新建、改扩建项目</w:t>
            </w:r>
            <w:r>
              <w:rPr>
                <w:rFonts w:hint="eastAsia" w:ascii="仿宋_GB2312" w:hAnsi="宋体" w:eastAsia="仿宋_GB2312" w:cs="仿宋_GB2312"/>
                <w:color w:val="000000"/>
                <w:kern w:val="0"/>
                <w:szCs w:val="21"/>
              </w:rPr>
              <w:t>的</w:t>
            </w:r>
            <w:r>
              <w:rPr>
                <w:rFonts w:hint="eastAsia" w:ascii="仿宋_GB2312" w:hAnsi="仿宋_GB2312" w:eastAsia="仿宋_GB2312" w:cs="仿宋_GB2312"/>
                <w:szCs w:val="21"/>
              </w:rPr>
              <w:t>初审与上报</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napToGrid w:val="0"/>
              <w:jc w:val="left"/>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【行政法规】</w:t>
            </w:r>
          </w:p>
          <w:p>
            <w:pPr>
              <w:snapToGrid w:val="0"/>
              <w:jc w:val="left"/>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 xml:space="preserve">    《烈士褒扬条例》（国务院令第601号） 第二十四条 第二十七条 </w:t>
            </w:r>
          </w:p>
          <w:p>
            <w:pPr>
              <w:snapToGrid w:val="0"/>
              <w:jc w:val="left"/>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【部门规章】</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 xml:space="preserve">    《烈士纪念设施保护管理办法》（2013年民政部令第47号） 第十条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1.受理责任:依法受理或不予受理，并一次性告之不予受理理由或需补充提供的相关材料目录。</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2.审查责任:审核提供的材料。</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3.上报责任:对初步审核符合条件的，上报忻州市民政局。对不符合条件的，解释原因。</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790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drawing>
                <wp:inline distT="0" distB="0" distL="114300" distR="114300">
                  <wp:extent cx="3287395" cy="4493260"/>
                  <wp:effectExtent l="0" t="0" r="8255" b="2540"/>
                  <wp:docPr id="10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5"/>
                          <pic:cNvPicPr>
                            <a:picLocks noChangeAspect="1"/>
                          </pic:cNvPicPr>
                        </pic:nvPicPr>
                        <pic:blipFill>
                          <a:blip r:embed="rId19"/>
                          <a:stretch>
                            <a:fillRect/>
                          </a:stretch>
                        </pic:blipFill>
                        <pic:spPr>
                          <a:xfrm>
                            <a:off x="0" y="0"/>
                            <a:ext cx="3287395" cy="4493260"/>
                          </a:xfrm>
                          <a:prstGeom prst="rect">
                            <a:avLst/>
                          </a:prstGeom>
                          <a:noFill/>
                          <a:ln w="9525">
                            <a:noFill/>
                          </a:ln>
                        </pic:spPr>
                      </pic:pic>
                    </a:graphicData>
                  </a:graphic>
                </wp:inline>
              </w:drawing>
            </w:r>
            <w:r>
              <w:drawing>
                <wp:inline distT="0" distB="0" distL="114300" distR="114300">
                  <wp:extent cx="3303905" cy="4919980"/>
                  <wp:effectExtent l="0" t="0" r="10795" b="13970"/>
                  <wp:docPr id="10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6"/>
                          <pic:cNvPicPr>
                            <a:picLocks noChangeAspect="1"/>
                          </pic:cNvPicPr>
                        </pic:nvPicPr>
                        <pic:blipFill>
                          <a:blip r:embed="rId20"/>
                          <a:stretch>
                            <a:fillRect/>
                          </a:stretch>
                        </pic:blipFill>
                        <pic:spPr>
                          <a:xfrm>
                            <a:off x="0" y="0"/>
                            <a:ext cx="3303905" cy="491998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984625" cy="5272405"/>
                  <wp:effectExtent l="0" t="0" r="15875" b="4445"/>
                  <wp:docPr id="10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7"/>
                          <pic:cNvPicPr>
                            <a:picLocks noChangeAspect="1"/>
                          </pic:cNvPicPr>
                        </pic:nvPicPr>
                        <pic:blipFill>
                          <a:blip r:embed="rId21"/>
                          <a:stretch>
                            <a:fillRect/>
                          </a:stretch>
                        </pic:blipFill>
                        <pic:spPr>
                          <a:xfrm>
                            <a:off x="0" y="0"/>
                            <a:ext cx="3984625" cy="527240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0500-Z-00900-140981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农村公益性墓地审批</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ind w:firstLine="420" w:firstLineChars="200"/>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《殡葬管理条例》（国务院令第225号）第三条</w:t>
            </w:r>
            <w:r>
              <w:rPr>
                <w:rFonts w:hint="eastAsia" w:ascii="仿宋_GB2312" w:hAnsi="仿宋_GB2312" w:eastAsia="仿宋_GB2312" w:cs="仿宋_GB2312"/>
                <w:color w:val="000000"/>
                <w:kern w:val="0"/>
                <w:szCs w:val="21"/>
                <w:lang w:val="en-US" w:eastAsia="zh-CN"/>
              </w:rPr>
              <w:t xml:space="preserve">  </w:t>
            </w:r>
            <w:r>
              <w:rPr>
                <w:rFonts w:hint="eastAsia" w:ascii="仿宋_GB2312" w:hAnsi="仿宋_GB2312" w:eastAsia="仿宋_GB2312" w:cs="仿宋_GB2312"/>
                <w:color w:val="000000"/>
                <w:kern w:val="0"/>
                <w:szCs w:val="21"/>
              </w:rPr>
              <w:t>第八条</w:t>
            </w:r>
            <w:r>
              <w:rPr>
                <w:rFonts w:hint="eastAsia" w:ascii="宋体" w:hAnsi="宋体" w:cs="宋体"/>
                <w:color w:val="000000"/>
                <w:kern w:val="0"/>
                <w:szCs w:val="21"/>
              </w:rPr>
              <w:t>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1.受理责任：受理申请材料，不符合要求的，应当通知乡镇政府。</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2.审查责任：审核上报材料。</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3.审批责任：符合条件的予以审批。</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办公室</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377565" cy="5273675"/>
                  <wp:effectExtent l="0" t="0" r="13335" b="3175"/>
                  <wp:docPr id="10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8"/>
                          <pic:cNvPicPr>
                            <a:picLocks noChangeAspect="1"/>
                          </pic:cNvPicPr>
                        </pic:nvPicPr>
                        <pic:blipFill>
                          <a:blip r:embed="rId22"/>
                          <a:stretch>
                            <a:fillRect/>
                          </a:stretch>
                        </pic:blipFill>
                        <pic:spPr>
                          <a:xfrm>
                            <a:off x="0" y="0"/>
                            <a:ext cx="3377565" cy="527367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117340" cy="5269865"/>
                  <wp:effectExtent l="0" t="0" r="16510" b="6985"/>
                  <wp:docPr id="10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9"/>
                          <pic:cNvPicPr>
                            <a:picLocks noChangeAspect="1"/>
                          </pic:cNvPicPr>
                        </pic:nvPicPr>
                        <pic:blipFill>
                          <a:blip r:embed="rId23"/>
                          <a:stretch>
                            <a:fillRect/>
                          </a:stretch>
                        </pic:blipFill>
                        <pic:spPr>
                          <a:xfrm>
                            <a:off x="0" y="0"/>
                            <a:ext cx="4117340" cy="526986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0500-Z-01000-140981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城镇街道名称的命名审核</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10.1城镇街道名称的命名审核</w:t>
            </w:r>
            <w:r>
              <w:rPr>
                <w:rFonts w:hint="eastAsia" w:ascii="仿宋_GB2312" w:hAnsi="仿宋_GB2312" w:eastAsia="仿宋_GB2312" w:cs="仿宋_GB2312"/>
                <w:color w:val="000000"/>
                <w:kern w:val="0"/>
                <w:szCs w:val="21"/>
              </w:rPr>
              <w:t>10.2自然地理实体</w:t>
            </w:r>
            <w:r>
              <w:rPr>
                <w:rFonts w:hint="eastAsia" w:ascii="仿宋_GB2312" w:hAnsi="仿宋_GB2312" w:eastAsia="仿宋_GB2312" w:cs="仿宋_GB2312"/>
                <w:szCs w:val="21"/>
              </w:rPr>
              <w:t>名称的命名审核</w:t>
            </w:r>
            <w:r>
              <w:rPr>
                <w:rFonts w:hint="eastAsia" w:ascii="仿宋_GB2312" w:hAnsi="仿宋_GB2312" w:eastAsia="仿宋_GB2312" w:cs="仿宋_GB2312"/>
                <w:color w:val="000000"/>
                <w:kern w:val="0"/>
                <w:szCs w:val="21"/>
              </w:rPr>
              <w:t>10.3居民地</w:t>
            </w:r>
            <w:r>
              <w:rPr>
                <w:rFonts w:hint="eastAsia" w:ascii="仿宋_GB2312" w:hAnsi="仿宋_GB2312" w:eastAsia="仿宋_GB2312" w:cs="仿宋_GB2312"/>
                <w:szCs w:val="21"/>
              </w:rPr>
              <w:t>名称的命名审核</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ind w:firstLine="405"/>
              <w:jc w:val="left"/>
              <w:textAlignment w:val="center"/>
              <w:rPr>
                <w:rFonts w:hint="eastAsia" w:ascii="仿宋_GB2312" w:hAnsi="仿宋_GB2312" w:eastAsia="仿宋_GB2312" w:cs="仿宋_GB2312"/>
                <w:color w:val="000000"/>
                <w:kern w:val="0"/>
                <w:szCs w:val="21"/>
              </w:rPr>
            </w:pPr>
            <w:r>
              <w:rPr>
                <w:rFonts w:hint="eastAsia" w:ascii="仿宋_GB2312" w:hAnsi="宋体" w:eastAsia="仿宋_GB2312" w:cs="仿宋_GB2312"/>
                <w:color w:val="000000"/>
                <w:kern w:val="0"/>
                <w:szCs w:val="21"/>
              </w:rPr>
              <w:t xml:space="preserve">《地名管理条列》（国发[1986]11号)  第六条      </w:t>
            </w:r>
            <w:r>
              <w:rPr>
                <w:rFonts w:hint="eastAsia" w:ascii="仿宋_GB2312" w:hAnsi="仿宋_GB2312" w:eastAsia="仿宋_GB2312" w:cs="仿宋_GB2312"/>
                <w:color w:val="000000"/>
                <w:kern w:val="0"/>
                <w:szCs w:val="21"/>
              </w:rPr>
              <w:t>【行政法规】</w:t>
            </w:r>
          </w:p>
          <w:p>
            <w:pPr>
              <w:widowControl/>
              <w:ind w:firstLine="405"/>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《山西省地名管理办法》（山西省人民政府令第86号）第三条第九条第十条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1.审核责任：是否遵循地名的命名、更名规定。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2.转报责任：向市政府报送命名、更名意见和建议，供市政府参考。</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3.其他法律法规规章规定应履行的责任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基政股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380105" cy="5271770"/>
                  <wp:effectExtent l="0" t="0" r="10795" b="5080"/>
                  <wp:docPr id="10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0"/>
                          <pic:cNvPicPr>
                            <a:picLocks noChangeAspect="1"/>
                          </pic:cNvPicPr>
                        </pic:nvPicPr>
                        <pic:blipFill>
                          <a:blip r:embed="rId24"/>
                          <a:stretch>
                            <a:fillRect/>
                          </a:stretch>
                        </pic:blipFill>
                        <pic:spPr>
                          <a:xfrm>
                            <a:off x="0" y="0"/>
                            <a:ext cx="3380105"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257675" cy="5272405"/>
                  <wp:effectExtent l="0" t="0" r="9525" b="4445"/>
                  <wp:docPr id="1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1"/>
                          <pic:cNvPicPr>
                            <a:picLocks noChangeAspect="1"/>
                          </pic:cNvPicPr>
                        </pic:nvPicPr>
                        <pic:blipFill>
                          <a:blip r:embed="rId25"/>
                          <a:stretch>
                            <a:fillRect/>
                          </a:stretch>
                        </pic:blipFill>
                        <pic:spPr>
                          <a:xfrm>
                            <a:off x="0" y="0"/>
                            <a:ext cx="4257675" cy="527240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0500-Z-01100-140981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本行政区域边界管理</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10.1本行政区域界线界桩管理10.2本级人民政府处理边界争议的处理</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2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【行政法规】</w:t>
            </w:r>
          </w:p>
          <w:p>
            <w:pPr>
              <w:widowControl/>
              <w:ind w:firstLine="315" w:firstLineChars="150"/>
              <w:jc w:val="left"/>
              <w:textAlignment w:val="center"/>
              <w:rPr>
                <w:rFonts w:hint="eastAsia" w:ascii="仿宋_GB2312" w:hAnsi="宋体" w:eastAsia="仿宋_GB2312" w:cs="仿宋_GB2312"/>
                <w:color w:val="000000"/>
                <w:kern w:val="0"/>
                <w:szCs w:val="21"/>
              </w:rPr>
            </w:pPr>
            <w:r>
              <w:rPr>
                <w:rFonts w:hint="eastAsia" w:ascii="仿宋_GB2312" w:hAnsi="仿宋_GB2312" w:eastAsia="仿宋_GB2312" w:cs="仿宋_GB2312"/>
                <w:color w:val="000000"/>
                <w:kern w:val="0"/>
                <w:szCs w:val="21"/>
              </w:rPr>
              <w:t>《行政区域界线管理条例》</w:t>
            </w:r>
            <w:r>
              <w:rPr>
                <w:rFonts w:hint="eastAsia" w:ascii="仿宋_GB2312" w:hAnsi="仿宋_GB2312" w:eastAsia="仿宋_GB2312" w:cs="仿宋_GB2312"/>
                <w:szCs w:val="21"/>
              </w:rPr>
              <w:t>（国务院令第353号）第三条</w:t>
            </w:r>
          </w:p>
          <w:p>
            <w:pPr>
              <w:widowControl/>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【部门规章】</w:t>
            </w:r>
          </w:p>
          <w:p>
            <w:pPr>
              <w:widowControl/>
              <w:ind w:firstLine="315" w:firstLineChars="150"/>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bCs/>
                <w:color w:val="000000"/>
                <w:kern w:val="0"/>
                <w:szCs w:val="21"/>
              </w:rPr>
              <w:t>《行政区域界线界桩管理办法》</w:t>
            </w:r>
            <w:r>
              <w:rPr>
                <w:rFonts w:hint="eastAsia" w:ascii="仿宋_GB2312" w:hAnsi="仿宋_GB2312" w:eastAsia="仿宋_GB2312" w:cs="仿宋_GB2312"/>
                <w:color w:val="000000"/>
                <w:kern w:val="0"/>
                <w:szCs w:val="21"/>
              </w:rPr>
              <w:t xml:space="preserve">（2008年民政部令）第三条。 </w:t>
            </w:r>
          </w:p>
          <w:p>
            <w:pPr>
              <w:widowControl/>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《行政区域边界争议处理条例》（国务院令第26号）第三条 第六条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w:t>
            </w:r>
            <w:r>
              <w:rPr>
                <w:rFonts w:hint="eastAsia" w:ascii="仿宋_GB2312" w:hAnsi="宋体" w:eastAsia="仿宋_GB2312" w:cs="仿宋_GB2312"/>
                <w:color w:val="000000"/>
                <w:kern w:val="0"/>
                <w:szCs w:val="21"/>
                <w:lang w:val="en-US" w:eastAsia="zh-CN"/>
              </w:rPr>
              <w:t>1</w:t>
            </w:r>
            <w:r>
              <w:rPr>
                <w:rFonts w:hint="eastAsia" w:ascii="仿宋_GB2312" w:hAnsi="宋体" w:eastAsia="仿宋_GB2312" w:cs="仿宋_GB2312"/>
                <w:color w:val="000000"/>
                <w:kern w:val="0"/>
                <w:szCs w:val="21"/>
              </w:rPr>
              <w:t>管理责任：依据</w:t>
            </w:r>
            <w:r>
              <w:rPr>
                <w:rFonts w:hint="eastAsia" w:ascii="仿宋_GB2312" w:hAnsi="仿宋_GB2312" w:eastAsia="仿宋_GB2312" w:cs="仿宋_GB2312"/>
                <w:color w:val="000000"/>
                <w:kern w:val="0"/>
                <w:szCs w:val="21"/>
              </w:rPr>
              <w:t>《行政区域界线管理条例》、</w:t>
            </w:r>
            <w:r>
              <w:rPr>
                <w:rFonts w:hint="eastAsia" w:ascii="仿宋_GB2312" w:hAnsi="宋体" w:eastAsia="仿宋_GB2312" w:cs="仿宋_GB2312"/>
                <w:color w:val="000000"/>
                <w:kern w:val="0"/>
                <w:szCs w:val="21"/>
              </w:rPr>
              <w:t>加强管理，</w:t>
            </w:r>
            <w:r>
              <w:rPr>
                <w:rFonts w:ascii="仿宋_GB2312" w:hAnsi="宋体" w:eastAsia="仿宋_GB2312" w:cs="仿宋_GB2312"/>
                <w:color w:val="000000"/>
                <w:kern w:val="0"/>
                <w:szCs w:val="21"/>
              </w:rPr>
              <w:t>落实界线界桩委托管理责任制</w:t>
            </w:r>
            <w:r>
              <w:rPr>
                <w:rFonts w:hint="eastAsia" w:ascii="仿宋_GB2312" w:hAnsi="宋体" w:eastAsia="仿宋_GB2312" w:cs="仿宋_GB2312"/>
                <w:color w:val="000000"/>
                <w:kern w:val="0"/>
                <w:szCs w:val="21"/>
              </w:rPr>
              <w:t>；</w:t>
            </w:r>
            <w:r>
              <w:rPr>
                <w:rFonts w:ascii="仿宋_GB2312" w:hAnsi="宋体" w:eastAsia="仿宋_GB2312" w:cs="仿宋_GB2312"/>
                <w:color w:val="000000"/>
                <w:kern w:val="0"/>
                <w:szCs w:val="21"/>
              </w:rPr>
              <w:t>坚持和完善定期检查巡查制度，落实界桩日常管理维护，保持界桩注记清晰醒目和界桩四周干净整洁。</w:t>
            </w:r>
          </w:p>
          <w:p>
            <w:pPr>
              <w:keepNext w:val="0"/>
              <w:keepLines w:val="0"/>
              <w:widowControl/>
              <w:suppressLineNumbers w:val="0"/>
              <w:wordWrap w:val="0"/>
              <w:spacing w:line="420" w:lineRule="atLeast"/>
              <w:ind w:left="0" w:firstLine="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lang w:val="en-US" w:eastAsia="zh-CN"/>
              </w:rPr>
              <w:t>1.2</w:t>
            </w:r>
            <w:r>
              <w:rPr>
                <w:rFonts w:hint="eastAsia" w:ascii="仿宋_GB2312" w:hAnsi="宋体" w:eastAsia="仿宋_GB2312" w:cs="仿宋_GB2312"/>
                <w:color w:val="000000"/>
                <w:kern w:val="0"/>
                <w:szCs w:val="21"/>
              </w:rPr>
              <w:t>其他：法律法规规章规定应履行的责任。</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lang w:val="en-US" w:eastAsia="zh-CN"/>
              </w:rPr>
              <w:t>2.</w:t>
            </w:r>
            <w:r>
              <w:rPr>
                <w:rFonts w:hint="eastAsia" w:ascii="仿宋_GB2312" w:hAnsi="宋体" w:eastAsia="仿宋_GB2312" w:cs="仿宋_GB2312"/>
                <w:color w:val="000000"/>
                <w:kern w:val="0"/>
                <w:szCs w:val="21"/>
              </w:rPr>
              <w:t>1受理责任：对</w:t>
            </w:r>
            <w:r>
              <w:rPr>
                <w:rFonts w:hint="eastAsia" w:ascii="仿宋_GB2312" w:hAnsi="仿宋_GB2312" w:eastAsia="仿宋_GB2312" w:cs="仿宋_GB2312"/>
                <w:szCs w:val="21"/>
              </w:rPr>
              <w:t>行政区域边界争议</w:t>
            </w:r>
            <w:r>
              <w:rPr>
                <w:rFonts w:hint="eastAsia" w:ascii="仿宋_GB2312" w:hAnsi="宋体" w:eastAsia="仿宋_GB2312" w:cs="仿宋_GB2312"/>
                <w:color w:val="000000"/>
                <w:kern w:val="0"/>
                <w:szCs w:val="21"/>
              </w:rPr>
              <w:t>予以受理。</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w:t>
            </w:r>
            <w:r>
              <w:rPr>
                <w:rFonts w:hint="eastAsia" w:ascii="仿宋_GB2312" w:hAnsi="宋体" w:eastAsia="仿宋_GB2312" w:cs="仿宋_GB2312"/>
                <w:color w:val="000000"/>
                <w:kern w:val="0"/>
                <w:szCs w:val="21"/>
                <w:lang w:val="en-US" w:eastAsia="zh-CN"/>
              </w:rPr>
              <w:t>2</w:t>
            </w:r>
            <w:r>
              <w:rPr>
                <w:rFonts w:ascii="仿宋_GB2312" w:hAnsi="宋体" w:eastAsia="仿宋_GB2312" w:cs="仿宋_GB2312"/>
                <w:color w:val="000000"/>
                <w:kern w:val="0"/>
                <w:szCs w:val="21"/>
              </w:rPr>
              <w:t>调解</w:t>
            </w:r>
            <w:r>
              <w:rPr>
                <w:rFonts w:hint="eastAsia" w:ascii="仿宋_GB2312" w:hAnsi="宋体" w:eastAsia="仿宋_GB2312" w:cs="仿宋_GB2312"/>
                <w:color w:val="000000"/>
                <w:kern w:val="0"/>
                <w:szCs w:val="21"/>
              </w:rPr>
              <w:t>责任：</w:t>
            </w:r>
            <w:r>
              <w:rPr>
                <w:rFonts w:ascii="仿宋_GB2312" w:hAnsi="宋体" w:eastAsia="仿宋_GB2312" w:cs="仿宋_GB2312"/>
                <w:color w:val="000000"/>
                <w:kern w:val="0"/>
                <w:szCs w:val="21"/>
              </w:rPr>
              <w:t>会同有关部门调解</w:t>
            </w:r>
            <w:r>
              <w:rPr>
                <w:rFonts w:hint="eastAsia" w:ascii="仿宋_GB2312" w:hAnsi="宋体" w:eastAsia="仿宋_GB2312" w:cs="仿宋_GB2312"/>
                <w:color w:val="000000"/>
                <w:kern w:val="0"/>
                <w:szCs w:val="21"/>
              </w:rPr>
              <w:t>。</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lang w:val="en-US" w:eastAsia="zh-CN"/>
              </w:rPr>
              <w:t>2.</w:t>
            </w:r>
            <w:r>
              <w:rPr>
                <w:rFonts w:hint="eastAsia" w:ascii="仿宋_GB2312" w:hAnsi="宋体" w:eastAsia="仿宋_GB2312" w:cs="仿宋_GB2312"/>
                <w:color w:val="000000"/>
                <w:kern w:val="0"/>
                <w:szCs w:val="21"/>
              </w:rPr>
              <w:t>3上报责任：</w:t>
            </w:r>
            <w:r>
              <w:rPr>
                <w:rFonts w:ascii="仿宋_GB2312" w:hAnsi="宋体" w:eastAsia="仿宋_GB2312" w:cs="仿宋_GB2312"/>
                <w:color w:val="000000"/>
                <w:kern w:val="0"/>
                <w:szCs w:val="21"/>
              </w:rPr>
              <w:t>经调解未达成协议的，会同有关部门提出解决方案，报本级人民政府决定。</w:t>
            </w:r>
          </w:p>
          <w:p>
            <w:pPr>
              <w:keepNext w:val="0"/>
              <w:keepLines w:val="0"/>
              <w:widowControl/>
              <w:suppressLineNumbers w:val="0"/>
              <w:wordWrap w:val="0"/>
              <w:spacing w:line="420" w:lineRule="atLeast"/>
              <w:ind w:left="0" w:firstLine="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《行政处罚法》第五十五条-第六十二条</w:t>
            </w:r>
          </w:p>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《山西省行政执法条例》第四十条-第四十二条</w:t>
            </w:r>
          </w:p>
          <w:p>
            <w:pPr>
              <w:widowControl/>
              <w:jc w:val="left"/>
              <w:textAlignment w:val="center"/>
              <w:rPr>
                <w:rFonts w:hint="eastAsia" w:ascii="仿宋_GB2312" w:hAnsi="仿宋_GB2312" w:eastAsia="仿宋_GB2312" w:cs="仿宋_GB2312"/>
                <w:szCs w:val="21"/>
              </w:rPr>
            </w:pPr>
            <w:r>
              <w:rPr>
                <w:rFonts w:hint="eastAsia" w:ascii="仿宋_GB2312" w:hAnsi="仿宋_GB2312" w:eastAsia="仿宋_GB2312" w:cs="仿宋_GB2312"/>
                <w:color w:val="000000"/>
                <w:kern w:val="0"/>
                <w:szCs w:val="21"/>
              </w:rPr>
              <w:t>《行政区域界线管理条例》</w:t>
            </w:r>
            <w:r>
              <w:rPr>
                <w:rFonts w:hint="eastAsia" w:ascii="仿宋_GB2312" w:hAnsi="仿宋_GB2312" w:eastAsia="仿宋_GB2312" w:cs="仿宋_GB2312"/>
                <w:szCs w:val="21"/>
              </w:rPr>
              <w:t>第十六条</w:t>
            </w:r>
          </w:p>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《行政区域边界争议处理条例》 第十八条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基政股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20135" cy="5272405"/>
                  <wp:effectExtent l="0" t="0" r="18415" b="4445"/>
                  <wp:docPr id="11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2"/>
                          <pic:cNvPicPr>
                            <a:picLocks noChangeAspect="1"/>
                          </pic:cNvPicPr>
                        </pic:nvPicPr>
                        <pic:blipFill>
                          <a:blip r:embed="rId26"/>
                          <a:stretch>
                            <a:fillRect/>
                          </a:stretch>
                        </pic:blipFill>
                        <pic:spPr>
                          <a:xfrm>
                            <a:off x="0" y="0"/>
                            <a:ext cx="3620135" cy="527240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065270" cy="5269865"/>
                  <wp:effectExtent l="0" t="0" r="11430" b="6985"/>
                  <wp:docPr id="1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3"/>
                          <pic:cNvPicPr>
                            <a:picLocks noChangeAspect="1"/>
                          </pic:cNvPicPr>
                        </pic:nvPicPr>
                        <pic:blipFill>
                          <a:blip r:embed="rId27"/>
                          <a:stretch>
                            <a:fillRect/>
                          </a:stretch>
                        </pic:blipFill>
                        <pic:spPr>
                          <a:xfrm>
                            <a:off x="0" y="0"/>
                            <a:ext cx="4065270" cy="526986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0500-Z-01200-140981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本行政区域的农村五保供养服务机构管理</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仿宋_GB2312" w:eastAsia="仿宋_GB2312" w:cs="仿宋_GB2312"/>
                <w:color w:val="000000"/>
                <w:kern w:val="0"/>
                <w:szCs w:val="21"/>
              </w:rPr>
            </w:pPr>
            <w:r>
              <w:rPr>
                <w:rFonts w:hint="eastAsia" w:ascii="仿宋_GB2312" w:hAnsi="仿宋_GB2312" w:eastAsia="仿宋_GB2312" w:cs="仿宋_GB2312"/>
                <w:color w:val="000000"/>
                <w:kern w:val="0"/>
                <w:szCs w:val="21"/>
              </w:rPr>
              <w:t>【部门规章】</w:t>
            </w:r>
          </w:p>
          <w:p>
            <w:pPr>
              <w:widowControl/>
              <w:ind w:firstLine="420" w:firstLineChars="200"/>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《农村五保供养服务机构管理办法》（2011年民政部令第37号）第三条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1.管理责任：依据《</w:t>
            </w:r>
            <w:r>
              <w:rPr>
                <w:rFonts w:ascii="仿宋_GB2312" w:hAnsi="宋体" w:eastAsia="仿宋_GB2312" w:cs="仿宋_GB2312"/>
                <w:color w:val="000000"/>
                <w:kern w:val="0"/>
                <w:szCs w:val="21"/>
              </w:rPr>
              <w:t>农村五保供养机构管理办法</w:t>
            </w:r>
            <w:r>
              <w:rPr>
                <w:rFonts w:hint="eastAsia" w:ascii="仿宋_GB2312" w:hAnsi="宋体" w:eastAsia="仿宋_GB2312" w:cs="仿宋_GB2312"/>
                <w:color w:val="000000"/>
                <w:kern w:val="0"/>
                <w:szCs w:val="21"/>
              </w:rPr>
              <w:t>》加强管理，</w:t>
            </w:r>
            <w:r>
              <w:rPr>
                <w:rFonts w:ascii="仿宋_GB2312" w:hAnsi="宋体" w:eastAsia="仿宋_GB2312" w:cs="仿宋_GB2312"/>
                <w:color w:val="000000"/>
                <w:kern w:val="0"/>
                <w:szCs w:val="21"/>
              </w:rPr>
              <w:t>开展</w:t>
            </w:r>
            <w:r>
              <w:rPr>
                <w:rFonts w:hint="eastAsia" w:ascii="仿宋_GB2312" w:hAnsi="宋体" w:eastAsia="仿宋_GB2312" w:cs="仿宋_GB2312"/>
                <w:color w:val="000000"/>
                <w:kern w:val="0"/>
                <w:szCs w:val="21"/>
              </w:rPr>
              <w:t>全</w:t>
            </w:r>
            <w:r>
              <w:rPr>
                <w:rFonts w:ascii="仿宋_GB2312" w:hAnsi="宋体" w:eastAsia="仿宋_GB2312" w:cs="仿宋_GB2312"/>
                <w:color w:val="000000"/>
                <w:kern w:val="0"/>
                <w:szCs w:val="21"/>
              </w:rPr>
              <w:t>市农村五保供养服务机构评定</w:t>
            </w:r>
            <w:r>
              <w:rPr>
                <w:rFonts w:hint="eastAsia" w:ascii="仿宋_GB2312" w:hAnsi="宋体" w:eastAsia="仿宋_GB2312" w:cs="仿宋_GB2312"/>
                <w:color w:val="000000"/>
                <w:kern w:val="0"/>
                <w:szCs w:val="21"/>
              </w:rPr>
              <w:t>考核</w:t>
            </w:r>
            <w:r>
              <w:rPr>
                <w:rFonts w:ascii="仿宋_GB2312" w:hAnsi="宋体" w:eastAsia="仿宋_GB2312" w:cs="仿宋_GB2312"/>
                <w:color w:val="000000"/>
                <w:kern w:val="0"/>
                <w:szCs w:val="21"/>
              </w:rPr>
              <w:t>工作，</w:t>
            </w:r>
            <w:r>
              <w:rPr>
                <w:rFonts w:hint="eastAsia" w:ascii="仿宋_GB2312" w:hAnsi="宋体" w:eastAsia="仿宋_GB2312" w:cs="仿宋_GB2312"/>
                <w:color w:val="000000"/>
                <w:kern w:val="0"/>
                <w:szCs w:val="21"/>
              </w:rPr>
              <w:t>保证</w:t>
            </w:r>
            <w:r>
              <w:rPr>
                <w:rFonts w:ascii="仿宋_GB2312" w:hAnsi="宋体" w:eastAsia="仿宋_GB2312" w:cs="仿宋_GB2312"/>
                <w:color w:val="000000"/>
                <w:kern w:val="0"/>
                <w:szCs w:val="21"/>
              </w:rPr>
              <w:t>供养服务标准，提高供养服务水平；督促</w:t>
            </w:r>
            <w:r>
              <w:rPr>
                <w:rFonts w:hint="eastAsia" w:ascii="仿宋_GB2312" w:hAnsi="宋体" w:eastAsia="仿宋_GB2312" w:cs="仿宋_GB2312"/>
                <w:color w:val="000000"/>
                <w:kern w:val="0"/>
                <w:szCs w:val="21"/>
              </w:rPr>
              <w:t>乡</w:t>
            </w:r>
            <w:r>
              <w:rPr>
                <w:rFonts w:ascii="仿宋_GB2312" w:hAnsi="宋体" w:eastAsia="仿宋_GB2312" w:cs="仿宋_GB2312"/>
                <w:color w:val="000000"/>
                <w:kern w:val="0"/>
                <w:szCs w:val="21"/>
              </w:rPr>
              <w:t>镇贯彻</w:t>
            </w:r>
            <w:r>
              <w:rPr>
                <w:rFonts w:hint="eastAsia" w:ascii="仿宋_GB2312" w:hAnsi="宋体" w:eastAsia="仿宋_GB2312" w:cs="仿宋_GB2312"/>
                <w:color w:val="000000"/>
                <w:kern w:val="0"/>
                <w:szCs w:val="21"/>
              </w:rPr>
              <w:t>落实五保供养相关政策</w:t>
            </w:r>
            <w:r>
              <w:rPr>
                <w:rFonts w:ascii="仿宋_GB2312" w:hAnsi="宋体" w:eastAsia="仿宋_GB2312" w:cs="仿宋_GB2312"/>
                <w:color w:val="000000"/>
                <w:kern w:val="0"/>
                <w:szCs w:val="21"/>
              </w:rPr>
              <w:t>，使五保供养资金实行专项管理、专款专用，落实按标准施保。</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2.其他：法律法规规章规定应履行的责任。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救灾救济股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550920" cy="5272405"/>
                  <wp:effectExtent l="0" t="0" r="11430" b="4445"/>
                  <wp:docPr id="1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4"/>
                          <pic:cNvPicPr>
                            <a:picLocks noChangeAspect="1"/>
                          </pic:cNvPicPr>
                        </pic:nvPicPr>
                        <pic:blipFill>
                          <a:blip r:embed="rId28"/>
                          <a:stretch>
                            <a:fillRect/>
                          </a:stretch>
                        </pic:blipFill>
                        <pic:spPr>
                          <a:xfrm>
                            <a:off x="0" y="0"/>
                            <a:ext cx="3550920" cy="527240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752340" cy="5269230"/>
                  <wp:effectExtent l="0" t="0" r="10160" b="7620"/>
                  <wp:docPr id="1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5"/>
                          <pic:cNvPicPr>
                            <a:picLocks noChangeAspect="1"/>
                          </pic:cNvPicPr>
                        </pic:nvPicPr>
                        <pic:blipFill>
                          <a:blip r:embed="rId29"/>
                          <a:stretch>
                            <a:fillRect/>
                          </a:stretch>
                        </pic:blipFill>
                        <pic:spPr>
                          <a:xfrm>
                            <a:off x="0" y="0"/>
                            <a:ext cx="4752340"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0500-Z-01300-140981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社会福利机构审批</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【部门规章】</w:t>
            </w:r>
          </w:p>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《社会福利机构管理暂行办法》(1999年民政部令第19号)第五条 第七条 第八条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1.受理责任：受理申请材料，一次性告知补正材料，不予受理的应当告知理由）。</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2.审查责任：审核上报材料。</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3.审批责任：符合条件的予以审批。</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4.其他：法律法规规章规定应履行的责任。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救灾救济股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503295" cy="5271770"/>
                  <wp:effectExtent l="0" t="0" r="1905" b="5080"/>
                  <wp:docPr id="1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6"/>
                          <pic:cNvPicPr>
                            <a:picLocks noChangeAspect="1"/>
                          </pic:cNvPicPr>
                        </pic:nvPicPr>
                        <pic:blipFill>
                          <a:blip r:embed="rId30"/>
                          <a:stretch>
                            <a:fillRect/>
                          </a:stretch>
                        </pic:blipFill>
                        <pic:spPr>
                          <a:xfrm>
                            <a:off x="0" y="0"/>
                            <a:ext cx="3503295"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986530" cy="5267325"/>
                  <wp:effectExtent l="0" t="0" r="13970" b="9525"/>
                  <wp:docPr id="1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7"/>
                          <pic:cNvPicPr>
                            <a:picLocks noChangeAspect="1"/>
                          </pic:cNvPicPr>
                        </pic:nvPicPr>
                        <pic:blipFill>
                          <a:blip r:embed="rId31"/>
                          <a:stretch>
                            <a:fillRect/>
                          </a:stretch>
                        </pic:blipFill>
                        <pic:spPr>
                          <a:xfrm>
                            <a:off x="0" y="0"/>
                            <a:ext cx="3986530" cy="526732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0500-Z-01400-140981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color w:val="000000"/>
                <w:kern w:val="0"/>
                <w:szCs w:val="21"/>
              </w:rPr>
              <w:t>其它</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社会福利机构管理</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22"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【部门规章】</w:t>
            </w:r>
          </w:p>
          <w:p>
            <w:pPr>
              <w:widowControl/>
              <w:ind w:firstLine="330"/>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《社会福利机构管理暂行办法》(1999年民政部令第19号) 第五条检查 第十五条 第十六条 第十七条 第二十三条 第二十五条</w:t>
            </w:r>
          </w:p>
          <w:p>
            <w:pPr>
              <w:widowControl/>
              <w:jc w:val="left"/>
              <w:textAlignment w:val="center"/>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39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1.管理责任：依据《社会福利机构管理暂行办法》加强管理，督促</w:t>
            </w:r>
            <w:r>
              <w:rPr>
                <w:rFonts w:hint="eastAsia" w:ascii="仿宋_GB2312" w:hAnsi="仿宋_GB2312" w:eastAsia="仿宋_GB2312" w:cs="仿宋_GB2312"/>
                <w:szCs w:val="21"/>
              </w:rPr>
              <w:t>社会福利机构建立健全各项规章制度和服务标准、提交本年度的工作报告和下一年度的工作计划</w:t>
            </w:r>
            <w:r>
              <w:rPr>
                <w:rFonts w:ascii="仿宋_GB2312" w:hAnsi="宋体" w:eastAsia="仿宋_GB2312" w:cs="仿宋_GB2312"/>
                <w:color w:val="000000"/>
                <w:kern w:val="0"/>
                <w:szCs w:val="21"/>
              </w:rPr>
              <w:t>，</w:t>
            </w:r>
            <w:r>
              <w:rPr>
                <w:rFonts w:hint="eastAsia" w:ascii="仿宋_GB2312" w:hAnsi="仿宋_GB2312" w:eastAsia="仿宋_GB2312" w:cs="仿宋_GB2312"/>
                <w:szCs w:val="21"/>
              </w:rPr>
              <w:t>定期对社会福利机构的工作进行年度检查</w:t>
            </w:r>
            <w:r>
              <w:rPr>
                <w:rFonts w:hint="eastAsia" w:ascii="仿宋_GB2312" w:hAnsi="宋体" w:eastAsia="仿宋_GB2312" w:cs="仿宋_GB2312"/>
                <w:color w:val="000000"/>
                <w:kern w:val="0"/>
                <w:szCs w:val="21"/>
              </w:rPr>
              <w:t>。</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2.其他：法律法规规章规定应履行的责任。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救灾救济股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42360" cy="5274310"/>
                  <wp:effectExtent l="0" t="0" r="15240" b="2540"/>
                  <wp:docPr id="11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8"/>
                          <pic:cNvPicPr>
                            <a:picLocks noChangeAspect="1"/>
                          </pic:cNvPicPr>
                        </pic:nvPicPr>
                        <pic:blipFill>
                          <a:blip r:embed="rId32"/>
                          <a:stretch>
                            <a:fillRect/>
                          </a:stretch>
                        </pic:blipFill>
                        <pic:spPr>
                          <a:xfrm>
                            <a:off x="0" y="0"/>
                            <a:ext cx="3642360" cy="52743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22"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5153660" cy="5268595"/>
                  <wp:effectExtent l="0" t="0" r="8890" b="825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33"/>
                          <a:stretch>
                            <a:fillRect/>
                          </a:stretch>
                        </pic:blipFill>
                        <pic:spPr>
                          <a:xfrm>
                            <a:off x="0" y="0"/>
                            <a:ext cx="5153660" cy="5268595"/>
                          </a:xfrm>
                          <a:prstGeom prst="rect">
                            <a:avLst/>
                          </a:prstGeom>
                          <a:noFill/>
                          <a:ln w="9525">
                            <a:noFill/>
                          </a:ln>
                        </pic:spPr>
                      </pic:pic>
                    </a:graphicData>
                  </a:graphic>
                </wp:inline>
              </w:drawing>
            </w:r>
          </w:p>
        </w:tc>
      </w:tr>
    </w:tbl>
    <w:p>
      <w:bookmarkStart w:id="0" w:name="_GoBack"/>
      <w:bookmarkEnd w:id="0"/>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B3327B"/>
    <w:rsid w:val="0CB3327B"/>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2018-08-13T02:55:00Z</dcterms:created>
  <dc:creator>Administrator</dc:creator>
  <cp:lastModifiedBy>Administrator</cp:lastModifiedBy>
  <dcterms:modified xsi:type="dcterms:W3CDTF">2018-08-13T02:56:18Z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