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5"/>
        <w:tblW w:w="13660" w:type="dxa"/>
        <w:tblInd w:w="100" w:type="dxa"/>
        <w:tblLayout w:type="fixed"/>
        <w:tblCellMar>
          <w:top w:w="0" w:type="dxa"/>
          <w:left w:w="0" w:type="dxa"/>
          <w:bottom w:w="0" w:type="dxa"/>
          <w:right w:w="0" w:type="dxa"/>
        </w:tblCellMar>
      </w:tblPr>
      <w:tblGrid>
        <w:gridCol w:w="1466"/>
        <w:gridCol w:w="8437"/>
        <w:gridCol w:w="1"/>
        <w:gridCol w:w="1808"/>
        <w:gridCol w:w="247"/>
        <w:gridCol w:w="1701"/>
      </w:tblGrid>
      <w:tr>
        <w:tblPrEx>
          <w:tblLayout w:type="fixed"/>
          <w:tblCellMar>
            <w:top w:w="0" w:type="dxa"/>
            <w:left w:w="0" w:type="dxa"/>
            <w:bottom w:w="0" w:type="dxa"/>
            <w:right w:w="0" w:type="dxa"/>
          </w:tblCellMar>
        </w:tblPrEx>
        <w:trPr>
          <w:trHeight w:val="378"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437"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0900-Z-00100-140981</w:t>
            </w:r>
          </w:p>
        </w:tc>
        <w:tc>
          <w:tcPr>
            <w:tcW w:w="2056" w:type="dxa"/>
            <w:gridSpan w:val="3"/>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701"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87"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94"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先行用地审查报批</w:t>
            </w:r>
          </w:p>
        </w:tc>
      </w:tr>
      <w:tr>
        <w:tblPrEx>
          <w:tblLayout w:type="fixed"/>
          <w:tblCellMar>
            <w:top w:w="0" w:type="dxa"/>
            <w:left w:w="0" w:type="dxa"/>
            <w:bottom w:w="0" w:type="dxa"/>
            <w:right w:w="0" w:type="dxa"/>
          </w:tblCellMar>
        </w:tblPrEx>
        <w:trPr>
          <w:trHeight w:val="378"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94"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235"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94"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《中华人民共和国土地管理法实施条例》（国务院令第256号）第二十七条；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【规范性文件】</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《国土资源部关于进一步改进建设用地审查报批工作提高审批效率有关问题的通知》（国土资发[2012]77号）。</w:t>
            </w:r>
          </w:p>
        </w:tc>
      </w:tr>
      <w:tr>
        <w:tblPrEx>
          <w:tblLayout w:type="fixed"/>
          <w:tblCellMar>
            <w:top w:w="0" w:type="dxa"/>
            <w:left w:w="0" w:type="dxa"/>
            <w:bottom w:w="0" w:type="dxa"/>
            <w:right w:w="0" w:type="dxa"/>
          </w:tblCellMar>
        </w:tblPrEx>
        <w:trPr>
          <w:trHeight w:val="1143"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94"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应当提交的材料，一次性告知补正材料，依法受理或不予受理，不予受理告知理由。2.审查责任：对照条件和标准，对书面申请材料进行审核。3.决定责任：对符合法律和规定的给予审核通过。4.送达责任：准予审核通过的，制发审核通过证书或批件，送达并信息公开。5.事后监管责任：建立实施监督检查的运行机制和管理制度，开展定期和不定期检查，依法采取相关处置措施。6.其他责任：其他法律法规规章文件规定应履行的责任。</w:t>
            </w:r>
          </w:p>
        </w:tc>
      </w:tr>
      <w:tr>
        <w:tblPrEx>
          <w:tblLayout w:type="fixed"/>
          <w:tblCellMar>
            <w:top w:w="0" w:type="dxa"/>
            <w:left w:w="0" w:type="dxa"/>
            <w:bottom w:w="0" w:type="dxa"/>
            <w:right w:w="0" w:type="dxa"/>
          </w:tblCellMar>
        </w:tblPrEx>
        <w:trPr>
          <w:trHeight w:val="2397"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94"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土地管理法》第八十四条；【行政法规】《行政机关公务员处分条例》（国务院令第495号）第十九条至第二十八条；【部门规章】《违反土地管理规定行为处分办法》（中华人民共和国监察部中华人民共和国人力资源和社会保障部中华人民共和国国土资源部 令第 15 号）第四条至第七条、第十条、第十三条至十六条；【地方性法规】《山西省行政执法条例》第四十至四十二条；【地方性法规】《山西省实施&lt;中华人民共和国土地管理法&gt;办法》第四十八条、第五十八条；【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78"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438"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原平市国土资源局建审办</w:t>
            </w:r>
          </w:p>
        </w:tc>
        <w:tc>
          <w:tcPr>
            <w:tcW w:w="1808"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48"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87" w:hRule="atLeast"/>
        </w:trPr>
        <w:tc>
          <w:tcPr>
            <w:tcW w:w="1466"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94"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7792" w:hRule="atLeast"/>
        </w:trPr>
        <w:tc>
          <w:tcPr>
            <w:tcW w:w="1466"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94"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16" o:spid="_x0000_s1026" o:spt="75" alt="1" type="#_x0000_t75" style="position:absolute;left:0pt;margin-left:0pt;margin-top:-45.2pt;height:414.7pt;width:357.6pt;mso-wrap-distance-bottom:0pt;mso-wrap-distance-left:9pt;mso-wrap-distance-right:9pt;mso-wrap-distance-top:0pt;z-index:251658240;mso-width-relative:page;mso-height-relative:page;" filled="f" o:preferrelative="t" stroked="f" coordsize="21600,21600">
                  <v:path/>
                  <v:fill on="f" focussize="0,0"/>
                  <v:stroke on="f"/>
                  <v:imagedata r:id="rId10" o:title="1"/>
                  <o:lock v:ext="edit" aspectratio="t"/>
                  <w10:wrap type="square"/>
                </v:shape>
              </w:pict>
            </w:r>
          </w:p>
        </w:tc>
      </w:tr>
      <w:tr>
        <w:tblPrEx>
          <w:tblLayout w:type="fixed"/>
          <w:tblCellMar>
            <w:top w:w="0" w:type="dxa"/>
            <w:left w:w="0" w:type="dxa"/>
            <w:bottom w:w="0" w:type="dxa"/>
            <w:right w:w="0" w:type="dxa"/>
          </w:tblCellMar>
        </w:tblPrEx>
        <w:trPr>
          <w:trHeight w:val="7806" w:hRule="atLeast"/>
        </w:trPr>
        <w:tc>
          <w:tcPr>
            <w:tcW w:w="1466"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94"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17" o:spid="_x0000_s1027" o:spt="75" alt="1" type="#_x0000_t75" style="position:absolute;left:0pt;margin-left:0pt;margin-top:-395.45pt;height:381.95pt;width:333pt;mso-wrap-distance-bottom:0pt;mso-wrap-distance-left:9pt;mso-wrap-distance-right:9pt;mso-wrap-distance-top:0pt;z-index:251659264;mso-width-relative:page;mso-height-relative:page;" filled="f" o:preferrelative="t" stroked="f" coordsize="21600,21600">
                  <v:path/>
                  <v:fill on="f" focussize="0,0"/>
                  <v:stroke on="f"/>
                  <v:imagedata r:id="rId11" o:title="1"/>
                  <o:lock v:ext="edit" aspectratio="t"/>
                  <w10:wrap type="square"/>
                </v:shape>
              </w:pict>
            </w:r>
          </w:p>
        </w:tc>
      </w:tr>
    </w:tbl>
    <w:p>
      <w:pPr>
        <w:jc w:val="both"/>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0900-Z-00200-140981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集体土地征收和农用地转用审查报批</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11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【法律】《中华人民共和国土地管理法》 第二条第三款、第四十三条、第四十四条第一款和第三款；</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【行政法规】《中华人民共和国土地管理法实施条例》（国务院令第256号）第二十条；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【部门规章】《建设用地审查报批管理办法》（国土资源部令第49号）第三条。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1.受理责任：公示应当提交的材料，一次性告知补正材料，依法受理或不予受理，不予受理告知理由。</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2.审查责任：对照条件和标准，对书面申请材料进行审核。</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3.决定责任：对符合法律和规定的给予审核通过。</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4.送达责任：准予审核通过的，制发审核通过证书或批件，送达并信息公开。</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5.事后监管责任：建立实施监督检查的运行机制和管理制度，开展定期和不定期检查，依法采取相关处置措施。</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 其他责任：法律法规规章规定的应履行的责任。</w:t>
            </w:r>
          </w:p>
        </w:tc>
      </w:tr>
      <w:tr>
        <w:tblPrEx>
          <w:tblLayout w:type="fixed"/>
          <w:tblCellMar>
            <w:top w:w="0" w:type="dxa"/>
            <w:left w:w="0" w:type="dxa"/>
            <w:bottom w:w="0" w:type="dxa"/>
            <w:right w:w="0" w:type="dxa"/>
          </w:tblCellMar>
        </w:tblPrEx>
        <w:trPr>
          <w:trHeight w:val="2813"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【法律】《中华人民共和国土地管理法》第八十四条；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【行政法规】《行政机关公务员处分条例》（国务院令第495号）第十九条至第二十八条；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【部门规章】《违反土地管理规定行为处分办法》（中华人民共和国监察部中华人民共和国人力资源和社会保障部中华人民共和国国土资源部 令第 15 号）第四条至第七条、第十条、第十三条至十六条；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【地方性法规】《山西省实施&lt;中华人民共和国土地管理法&gt;办法》第四十八条、第五十八条；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w:t>
            </w:r>
            <w:r>
              <w:rPr>
                <w:rFonts w:hint="eastAsia" w:ascii="黑体" w:hAnsi="黑体" w:eastAsia="黑体" w:cs="黑体"/>
                <w:color w:val="000000"/>
                <w:kern w:val="0"/>
                <w:lang w:eastAsia="zh-CN"/>
              </w:rPr>
              <w:t>建审</w:t>
            </w:r>
            <w:r>
              <w:rPr>
                <w:rFonts w:hint="eastAsia" w:ascii="黑体" w:hAnsi="黑体" w:eastAsia="黑体" w:cs="黑体"/>
                <w:color w:val="000000"/>
                <w:kern w:val="0"/>
              </w:rPr>
              <w:t>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28" o:spid="_x0000_s1028" o:spt="75" alt="2" type="#_x0000_t75" style="position:absolute;left:0pt;margin-left:0pt;margin-top:-10.45pt;height:414.65pt;width:328.9pt;mso-wrap-distance-bottom:0pt;mso-wrap-distance-left:9pt;mso-wrap-distance-right:9pt;mso-wrap-distance-top:0pt;z-index:251660288;mso-width-relative:page;mso-height-relative:page;" filled="f" o:preferrelative="t" stroked="f" coordsize="21600,21600">
                  <v:path/>
                  <v:fill on="f" focussize="0,0"/>
                  <v:stroke on="f"/>
                  <v:imagedata r:id="rId12" o:title="2"/>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29" o:spid="_x0000_s1029" o:spt="75" alt="2" type="#_x0000_t75" style="position:absolute;left:0pt;margin-left:0pt;margin-top:-395.45pt;height:396.85pt;width:333pt;mso-wrap-distance-bottom:0pt;mso-wrap-distance-left:9pt;mso-wrap-distance-right:9pt;mso-wrap-distance-top:0pt;z-index:251661312;mso-width-relative:page;mso-height-relative:page;" filled="f" o:preferrelative="t" stroked="f" coordsize="21600,21600">
                  <v:path/>
                  <v:fill on="f" focussize="0,0"/>
                  <v:stroke on="f"/>
                  <v:imagedata r:id="rId13" o:title="2"/>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0900-Z-00300-140981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中外合作开采矿产资源合同备案</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35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《矿产资源开采登记管理办法》（国务院令第241号） 第二十九条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1.受理责任：政务大厅公示应当依法提交的材料，一次性告知补正材料，依法受理或不予受理（不予受理应当告知理由）。 2.审查责任：矿管科会同相关科室对申请材料进行审查、提出审查意见。 3.决定责任：作出准予上报或不予上报的决定，法定告知（不予上报的应当书面告知理由）。 4.送达责任：政务大厅依法办理上报省厅的意见。 5.事后监管责任：国土资源部门对采矿权人合理开发利用矿产资源及其他应当履行的法定义务等情况进行监督检查，依法采取相关处置措施。 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【法律】《公务员法》第五十三条；【法律】《中华人民共和国矿产资源法》第四十七条；【行政法规】《行政机关公务员处分条例》（国务院第495号令）第十九条至第二十八条；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 【地方性法规】《山西省行政执法条例》第四十至四十二条；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【地方性法规】《山西省矿产资源管理条例》第四十五条；【党内法规】《中国共产党纪律处分条例》；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原平市国土资源局矿管股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7" o:spid="_x0000_s1030" o:spt="75" alt="3" type="#_x0000_t75" style="position:absolute;left:0pt;margin-left:0pt;margin-top:-6.55pt;height:414.55pt;width:350.4pt;mso-wrap-distance-bottom:0pt;mso-wrap-distance-left:9pt;mso-wrap-distance-right:9pt;mso-wrap-distance-top:0pt;z-index:251662336;mso-width-relative:page;mso-height-relative:page;" filled="f" o:preferrelative="t" stroked="f" coordsize="21600,21600">
                  <v:path/>
                  <v:fill on="f" focussize="0,0"/>
                  <v:stroke on="f"/>
                  <v:imagedata r:id="rId14" o:title="3"/>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8" o:spid="_x0000_s1031" o:spt="75" alt="3" type="#_x0000_t75" style="position:absolute;left:0pt;margin-left:0pt;margin-top:-395.1pt;height:389.9pt;width:331.95pt;mso-wrap-distance-bottom:0pt;mso-wrap-distance-left:9pt;mso-wrap-distance-right:9pt;mso-wrap-distance-top:0pt;z-index:251663360;mso-width-relative:page;mso-height-relative:page;" filled="f" o:preferrelative="t" stroked="f" coordsize="21600,21600">
                  <v:path/>
                  <v:fill on="f" focussize="0,0"/>
                  <v:stroke on="f"/>
                  <v:imagedata r:id="rId15" o:title="3"/>
                  <o:lock v:ext="edit" aspectratio="t"/>
                  <w10:wrap type="square"/>
                </v:shape>
              </w:pict>
            </w:r>
          </w:p>
        </w:tc>
      </w:tr>
    </w:tbl>
    <w:p>
      <w:pPr>
        <w:snapToGrid w:val="0"/>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0900-Z-00400-140981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矿产资源储量报告备案</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《中华人民共和国矿产资源法》第十三条、第二十一条；                                                               【行政法规】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《中华人民共和国矿产资源法实施细则》（国务院令152号）第三十三条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《矿产资源开采登记管理办法》（国务院令241号）第二十一条；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应当提交的材料，一次性告知补正材料，依法受理或不予受理（不予受理应当告知理由）。2.审查责任：对报送的相关材料进行合规性审查，提出初审意见。3.决定责任：做出是否准予备案的决定，法定告知（不予备案的，应当告知理由）。4.送达责任：政务大厅依法办理。5.事后监管责任：加强矿产资源储量监督管理，并适时向社会公布矿产资源储量评审备案情况。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原平市国土资源局储量股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3" o:spid="_x0000_s1032" o:spt="75" alt="4" type="#_x0000_t75" style="position:absolute;left:0pt;margin-left:0pt;margin-top:-400.2pt;height:414.6pt;width:430.35pt;mso-wrap-distance-bottom:0pt;mso-wrap-distance-left:9pt;mso-wrap-distance-right:9pt;mso-wrap-distance-top:0pt;z-index:251664384;mso-width-relative:page;mso-height-relative:page;" filled="f" o:preferrelative="t" stroked="f" coordsize="21600,21600">
                  <v:path/>
                  <v:fill on="f" focussize="0,0"/>
                  <v:stroke on="f"/>
                  <v:imagedata r:id="rId16" o:title="4"/>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4" o:spid="_x0000_s1033" o:spt="75" alt="4" type="#_x0000_t75" style="position:absolute;left:0pt;margin-left:0pt;margin-top:-395.25pt;height:378.2pt;width:337.6pt;mso-wrap-distance-bottom:0pt;mso-wrap-distance-left:9pt;mso-wrap-distance-right:9pt;mso-wrap-distance-top:0pt;z-index:251665408;mso-width-relative:page;mso-height-relative:page;" filled="f" o:preferrelative="t" stroked="f" coordsize="21600,21600">
                  <v:path/>
                  <v:fill on="f" focussize="0,0"/>
                  <v:stroke on="f"/>
                  <v:imagedata r:id="rId17" o:title="4"/>
                  <o:lock v:ext="edit" aspectratio="t"/>
                  <w10:wrap type="square"/>
                </v:shape>
              </w:pict>
            </w:r>
          </w:p>
        </w:tc>
      </w:tr>
    </w:tbl>
    <w:p>
      <w:pPr>
        <w:rPr>
          <w:rFonts w:hint="eastAsia"/>
        </w:rPr>
      </w:pPr>
    </w:p>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0900-Z-00500-140981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建设项目用地压覆重要矿产资源初审</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《中华人民共和国矿产资源法》 第三十三条；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《山西省矿产资源管理条例》 第六条、第三十二条、第三十三条。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根据建设单位提供的坐标和建设项目保护范围，审查是否压覆查明的资源。审查压矿调查评估报告、评审机构提交的评审意见书等材料。3.决定责任：出具项目压覆矿产资源情况的说明后上报忻州市局。4.送达责任：政务大厅依法办理。5.事后监管责任：开展定期和不定期检查，根据检查情况，依法采取相关处置措施。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【地方性法规】《山西省矿产资源管理条例》第四十五条；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原平市国土资源局储量股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34" o:spid="_x0000_s1034" o:spt="75" alt="5" type="#_x0000_t75" style="position:absolute;left:0pt;margin-left:0pt;margin-top:-24.25pt;height:448.25pt;width:376.55pt;mso-wrap-distance-bottom:0pt;mso-wrap-distance-left:9pt;mso-wrap-distance-right:9pt;mso-wrap-distance-top:0pt;z-index:251666432;mso-width-relative:page;mso-height-relative:page;" filled="f" o:preferrelative="t" stroked="f" coordsize="21600,21600">
                  <v:path/>
                  <v:fill on="f" focussize="0,0"/>
                  <v:stroke on="f"/>
                  <v:imagedata r:id="rId18" o:title="5"/>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r>
              <w:rPr>
                <w:rFonts w:hint="eastAsia" w:ascii="黑体" w:hAnsi="黑体" w:eastAsia="黑体" w:cs="黑体"/>
                <w:color w:val="000000"/>
                <w:kern w:val="0"/>
                <w:lang w:val="en-US" w:eastAsia="zh-CN"/>
              </w:rPr>
              <w:t xml:space="preserve"> </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35" o:spid="_x0000_s1035" o:spt="75" alt="5" type="#_x0000_t75" style="position:absolute;left:0pt;margin-left:0pt;margin-top:-428.25pt;height:448.75pt;width:365.25pt;mso-wrap-distance-bottom:0pt;mso-wrap-distance-left:9pt;mso-wrap-distance-right:9pt;mso-wrap-distance-top:0pt;z-index:251667456;mso-width-relative:page;mso-height-relative:page;" filled="f" o:preferrelative="t" stroked="f" coordsize="21600,21600">
                  <v:path/>
                  <v:fill on="f" focussize="0,0"/>
                  <v:stroke on="f"/>
                  <v:imagedata r:id="rId19" o:title="5"/>
                  <o:lock v:ext="edit" aspectratio="t"/>
                  <w10:wrap type="square"/>
                </v:shape>
              </w:pict>
            </w:r>
          </w:p>
        </w:tc>
      </w:tr>
    </w:tbl>
    <w:p>
      <w:pPr>
        <w:spacing w:line="180" w:lineRule="exact"/>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0900-Z-00600-140981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永久性测量标志保管人重新确定的批准</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《中华人民共和国测量标志保护条例》（国务院第203号令）第十二条；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【政府规章】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《山西省测量标志管理规定》（省人民政府2000年140号令）第十八条。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对材料完整性进行审查。3.决定责任：作出批准决定；按时办结；法定告知。4.事后监管责任：及时处理有关反馈信息。5.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【法律】《中华人民共和国测绘法》第五十三条；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【行政法规】《中华人民共和国测量标志保护条例》（国务院第203号令）第二十四条；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w:t>
            </w:r>
            <w:r>
              <w:rPr>
                <w:rFonts w:hint="eastAsia" w:ascii="黑体" w:hAnsi="黑体" w:eastAsia="黑体" w:cs="黑体"/>
                <w:color w:val="000000"/>
                <w:kern w:val="0"/>
                <w:lang w:eastAsia="zh-CN"/>
              </w:rPr>
              <w:t>政府测绘管理办公室</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4" o:spid="_x0000_s1036" o:spt="75" alt="6" type="#_x0000_t75" style="position:absolute;left:0pt;margin-left:0pt;margin-top:-400.2pt;height:414.6pt;width:376.05pt;mso-wrap-distance-bottom:0pt;mso-wrap-distance-left:9pt;mso-wrap-distance-right:9pt;mso-wrap-distance-top:0pt;z-index:251668480;mso-width-relative:page;mso-height-relative:page;" filled="f" o:preferrelative="t" stroked="f" coordsize="21600,21600">
                  <v:path/>
                  <v:fill on="f" focussize="0,0"/>
                  <v:stroke on="f"/>
                  <v:imagedata r:id="rId20" o:title="6"/>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5" o:spid="_x0000_s1037" o:spt="75" alt="6" type="#_x0000_t75" style="position:absolute;left:0pt;margin-left:0pt;margin-top:-395.25pt;height:389.3pt;width:337.6pt;mso-wrap-distance-bottom:0pt;mso-wrap-distance-left:9pt;mso-wrap-distance-right:9pt;mso-wrap-distance-top:0pt;z-index:251669504;mso-width-relative:page;mso-height-relative:page;" filled="f" o:preferrelative="t" stroked="f" coordsize="21600,21600">
                  <v:path/>
                  <v:fill on="f" focussize="0,0"/>
                  <v:stroke on="f"/>
                  <v:imagedata r:id="rId21" o:title="6"/>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0900-Z-00700-140981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地籍测绘项目设计书审核</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《山西省测绘管理条例》第十四条第一款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对材料完整性进行审查。3.决定责任：作出批准决定；按时办结；法定告知。4.事后监管责任：及时处理有关反馈信息。5.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【法律】《中华人民共和国测绘法》第五十三条；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【地方性法规】《山西省测绘管理条例》第五十三条；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w:t>
            </w:r>
            <w:r>
              <w:rPr>
                <w:rFonts w:hint="eastAsia" w:ascii="黑体" w:hAnsi="黑体" w:eastAsia="黑体" w:cs="黑体"/>
                <w:color w:val="000000"/>
                <w:kern w:val="0"/>
                <w:lang w:eastAsia="zh-CN"/>
              </w:rPr>
              <w:t>政府测绘管理办公室</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3" o:spid="_x0000_s1038" o:spt="75" alt="7" type="#_x0000_t75" style="position:absolute;left:0pt;margin-left:0pt;margin-top:-400.2pt;height:414.6pt;width:376.05pt;mso-wrap-distance-bottom:0pt;mso-wrap-distance-left:9pt;mso-wrap-distance-right:9pt;mso-wrap-distance-top:0pt;z-index:251670528;mso-width-relative:page;mso-height-relative:page;" filled="f" o:preferrelative="t" stroked="f" coordsize="21600,21600">
                  <v:path/>
                  <v:fill on="f" focussize="0,0"/>
                  <v:stroke on="f"/>
                  <v:imagedata r:id="rId22" o:title="7"/>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39" o:spid="_x0000_s1039" o:spt="75" alt="7" type="#_x0000_t75" style="position:absolute;left:0pt;margin-left:0pt;margin-top:-395.25pt;height:399.75pt;width:334pt;mso-wrap-distance-bottom:0pt;mso-wrap-distance-left:9pt;mso-wrap-distance-right:9pt;mso-wrap-distance-top:0pt;z-index:251671552;mso-width-relative:page;mso-height-relative:page;" filled="f" o:preferrelative="t" stroked="f" coordsize="21600,21600">
                  <v:path/>
                  <v:fill on="f" focussize="0,0"/>
                  <v:stroke on="f"/>
                  <v:imagedata r:id="rId23" o:title="7"/>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0900-Z-00800-140981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永久性测量标志委托保管书备案</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《中华人民共和国测量标志保护条例》（国务院令第203号）第十二条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对备案材料完整性进行审查。3.决定责任：作出备案决定；按时办结；法定告知。4.事后监管责任：及时处理有关反馈信息。5.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【法律】《中华人民共和国测绘法》第五十三条；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【行政法规】《中华人民共和国测量标志保护条例》（国务院第203号令）第二十四条；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原平市政府测绘管理办公室</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0" o:spid="_x0000_s1040" o:spt="75" alt="8" type="#_x0000_t75" style="position:absolute;left:0pt;margin-left:0pt;margin-top:-400.2pt;height:414.6pt;width:376.05pt;mso-wrap-distance-bottom:0pt;mso-wrap-distance-left:9pt;mso-wrap-distance-right:9pt;mso-wrap-distance-top:0pt;z-index:251672576;mso-width-relative:page;mso-height-relative:page;" filled="f" o:preferrelative="t" stroked="f" coordsize="21600,21600">
                  <v:path/>
                  <v:fill on="f" focussize="0,0"/>
                  <v:stroke on="f"/>
                  <v:imagedata r:id="rId24" o:title="8"/>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1" o:spid="_x0000_s1041" o:spt="75" alt="8" type="#_x0000_t75" style="position:absolute;left:0pt;margin-left:0pt;margin-top:-395.25pt;height:395.3pt;width:334pt;mso-wrap-distance-bottom:0pt;mso-wrap-distance-left:9pt;mso-wrap-distance-right:9pt;mso-wrap-distance-top:0pt;z-index:251673600;mso-width-relative:page;mso-height-relative:page;" filled="f" o:preferrelative="t" stroked="f" coordsize="21600,21600">
                  <v:path/>
                  <v:fill on="f" focussize="0,0"/>
                  <v:stroke on="f"/>
                  <v:imagedata r:id="rId25" o:title="8"/>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0900-Z-00900-140981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距离永久性测量标志400米范围内建设微波站、雷达站、广播电视发射装置等大功率无线电发射设施批准</w:t>
            </w:r>
          </w:p>
        </w:tc>
      </w:tr>
      <w:tr>
        <w:tblPrEx>
          <w:tblLayout w:type="fixed"/>
          <w:tblCellMar>
            <w:top w:w="0" w:type="dxa"/>
            <w:left w:w="0" w:type="dxa"/>
            <w:bottom w:w="0" w:type="dxa"/>
            <w:right w:w="0" w:type="dxa"/>
          </w:tblCellMar>
        </w:tblPrEx>
        <w:trPr>
          <w:trHeight w:val="1349"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spacing w:line="300" w:lineRule="exact"/>
              <w:jc w:val="left"/>
              <w:rPr>
                <w:rFonts w:hint="eastAsia" w:ascii="黑体" w:hAnsi="黑体" w:eastAsia="黑体" w:cs="黑体"/>
                <w:color w:val="000000"/>
              </w:rPr>
            </w:pPr>
            <w:r>
              <w:rPr>
                <w:rFonts w:hint="eastAsia" w:ascii="黑体" w:hAnsi="黑体" w:eastAsia="黑体" w:cs="黑体"/>
                <w:color w:val="000000"/>
              </w:rPr>
              <w:t xml:space="preserve">《山西省测绘管理条例》第四十二条 </w:t>
            </w:r>
          </w:p>
          <w:p>
            <w:pPr>
              <w:spacing w:line="300" w:lineRule="exact"/>
              <w:jc w:val="left"/>
              <w:rPr>
                <w:rFonts w:hint="eastAsia" w:ascii="黑体" w:hAnsi="黑体" w:eastAsia="黑体" w:cs="黑体"/>
                <w:color w:val="000000"/>
              </w:rPr>
            </w:pPr>
            <w:r>
              <w:rPr>
                <w:rFonts w:hint="eastAsia" w:ascii="黑体" w:hAnsi="黑体" w:eastAsia="黑体" w:cs="黑体"/>
                <w:color w:val="000000"/>
              </w:rPr>
              <w:t xml:space="preserve"> 【政府规章】</w:t>
            </w:r>
          </w:p>
          <w:p>
            <w:pPr>
              <w:spacing w:line="300" w:lineRule="exact"/>
              <w:jc w:val="left"/>
              <w:rPr>
                <w:rFonts w:hint="eastAsia" w:ascii="黑体" w:hAnsi="黑体" w:eastAsia="黑体" w:cs="黑体"/>
                <w:color w:val="000000"/>
              </w:rPr>
            </w:pPr>
            <w:r>
              <w:rPr>
                <w:rFonts w:hint="eastAsia" w:ascii="黑体" w:hAnsi="黑体" w:eastAsia="黑体" w:cs="黑体"/>
                <w:color w:val="000000"/>
              </w:rPr>
              <w:t xml:space="preserve">《山西省测量标志管理规定》（省人民政府2000年140号令）第二十一条 </w:t>
            </w:r>
          </w:p>
        </w:tc>
      </w:tr>
      <w:tr>
        <w:tblPrEx>
          <w:tblLayout w:type="fixed"/>
          <w:tblCellMar>
            <w:top w:w="0" w:type="dxa"/>
            <w:left w:w="0" w:type="dxa"/>
            <w:bottom w:w="0" w:type="dxa"/>
            <w:right w:w="0" w:type="dxa"/>
          </w:tblCellMar>
        </w:tblPrEx>
        <w:trPr>
          <w:trHeight w:val="929"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补正材料；依法受理或不予受理（不予受理应当告知理由）。2.审查责任：对材料完整性进行审查。3.决定责任：作出批准决定；按时办结；法定告知。4.事后监管责任：及时处理有关反馈信息。5.其他责任：其他法律法规规章文件规定应履行的责任。</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【法律】《中华人民共和国测绘法》第五十三条；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【行政法规】《中华人民共和国测量标志保护条例》（国务院第203号令）第二十四条；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176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【法律】《公务员法》第五十三条；【法律】《中华人民共和国测绘法》第五十三条；【行政法规】《行政机关公务员处分条例》（国务院第495号令）第十九条至第二十八条；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【行政法规】《中华人民共和国测量标志保护条例》（国务院第203号令）第二十四条；【地方性法规】《山西省行政执法条例》第四十至四十二条；【党内法规】《中国共产党纪律处分条例》；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原平市政府测绘管理办公室</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2" o:spid="_x0000_s1042" o:spt="75" alt="9" type="#_x0000_t75" style="position:absolute;left:0pt;margin-left:0pt;margin-top:-9.3pt;height:415pt;width:364.75pt;mso-wrap-distance-bottom:0pt;mso-wrap-distance-left:9pt;mso-wrap-distance-right:9pt;mso-wrap-distance-top:0pt;z-index:251674624;mso-width-relative:page;mso-height-relative:page;" filled="f" o:preferrelative="t" stroked="f" coordsize="21600,21600">
                  <v:path/>
                  <v:fill on="f" focussize="0,0"/>
                  <v:stroke on="f"/>
                  <v:imagedata r:id="rId26" o:title="9"/>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3" o:spid="_x0000_s1043" o:spt="75" alt="9" type="#_x0000_t75" style="position:absolute;left:0pt;margin-left:0pt;margin-top:-395.25pt;height:397.25pt;width:334pt;mso-wrap-distance-bottom:0pt;mso-wrap-distance-left:9pt;mso-wrap-distance-right:9pt;mso-wrap-distance-top:0pt;z-index:251675648;mso-width-relative:page;mso-height-relative:page;" filled="f" o:preferrelative="t" stroked="f" coordsize="21600,21600">
                  <v:path/>
                  <v:fill on="f" focussize="0,0"/>
                  <v:stroke on="f"/>
                  <v:imagedata r:id="rId27" o:title="9"/>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0900-Z-01001-140981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探矿权申报初审</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1、探矿权新立申报初审</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《中华人民共和国矿产资源法》第三条第三款 、 第六条第一款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《矿产资源勘查区块登记管理办法》（国务院令第240号）第六条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《山西省矿产资源管理条例》 第六条第一款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1.受理责任：依法应当提交的材料；一次性告知补正材料；依法受理或不予受理（不予受理应当告知理由）。2.审查责任：对申请材料进行审查、提出审查意见。 3.决定责任：局务会研究决定。4.送达责任：向市国土资源局送达文书。 5.事后监管责任：国土资源部门对探矿权人应当履行的法定义务等情况进行监督检查，依法采取相关处置措施。 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【行政法规】《矿产资源勘查区块登记管理办法》（国务院令第240号）第三十四条；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【行政法规】《探矿权采矿权转让管理办法》（国务院令第242号）第十六条；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【地方性法规】《山西省矿产资源管理条例》第四十五条；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原平市国土资源局地环股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0" o:spid="_x0000_s1044" o:spt="75" alt="10.1" type="#_x0000_t75" style="position:absolute;left:0pt;margin-left:0pt;margin-top:-400.5pt;height:414.9pt;width:426.75pt;mso-wrap-distance-bottom:0pt;mso-wrap-distance-left:9pt;mso-wrap-distance-right:9pt;mso-wrap-distance-top:0pt;z-index:251676672;mso-width-relative:page;mso-height-relative:page;" filled="f" o:preferrelative="t" stroked="f" coordsize="21600,21600">
                  <v:path/>
                  <v:fill on="f" focussize="0,0"/>
                  <v:stroke on="f"/>
                  <v:imagedata r:id="rId28" o:title="10.1"/>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1" o:spid="_x0000_s1045" o:spt="75" alt="10.1" type="#_x0000_t75" style="position:absolute;left:0pt;margin-left:0pt;margin-top:-395.25pt;height:397.8pt;width:334pt;mso-wrap-distance-bottom:0pt;mso-wrap-distance-left:9pt;mso-wrap-distance-right:9pt;mso-wrap-distance-top:0pt;z-index:251677696;mso-width-relative:page;mso-height-relative:page;" filled="f" o:preferrelative="t" stroked="f" coordsize="21600,21600">
                  <v:path/>
                  <v:fill on="f" focussize="0,0"/>
                  <v:stroke on="f"/>
                  <v:imagedata r:id="rId29" o:title="10.1"/>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0900-Z-01002-140981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探矿权申报初审</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r>
              <w:rPr>
                <w:rFonts w:hint="eastAsia" w:ascii="黑体" w:hAnsi="黑体" w:eastAsia="黑体" w:cs="黑体"/>
                <w:color w:val="000000"/>
              </w:rPr>
              <w:t>2、探矿权转让申报初审</w:t>
            </w: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《探矿权采矿权转让管理办法》（国务院令第242号）第五条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《山西省矿产资源管理条例》 第六条第一款</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1.受理责任：依法应当提交的材料；一次性告知补正材料；依法受理或不予受理（不予受理应当告知理由）。2.审查责任：对申请材料进行审查、提出审查意见。 3.决定责任：局务会研究决定。4.送达责任：向市国土资源局送达文书。 5.事后监管责任：国土资源部门对探矿权人应当履行的法定义务等情况进行监督检查，依法采取相关处置措施。 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【法律】《中华人民共和国矿产资源法》第四十七条；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【行政法规】《矿产资源开采登记管理办法》（国务院令第241号）第二十五条；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【行政法规】《矿产资源勘查区块登记管理办法》（国务院令第240号）第三十四条；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【行政法规】《探矿权采矿权转让管理办法》（国务院令第242号）第十六条；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【地方性法规】《山西省矿产资源管理条例》第四十五条；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原平市国土资源局地环股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6" o:spid="_x0000_s1046" o:spt="75" alt="10.2" type="#_x0000_t75" style="position:absolute;left:0pt;margin-left:0pt;margin-top:-400.35pt;height:414.75pt;width:438.55pt;mso-wrap-distance-bottom:0pt;mso-wrap-distance-left:9pt;mso-wrap-distance-right:9pt;mso-wrap-distance-top:0pt;z-index:251679744;mso-width-relative:page;mso-height-relative:page;" filled="f" o:preferrelative="t" stroked="f" coordsize="21600,21600">
                  <v:path/>
                  <v:fill on="f" focussize="0,0"/>
                  <v:stroke on="f"/>
                  <v:imagedata r:id="rId30" o:title="10.2"/>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7" o:spid="_x0000_s1047" o:spt="75" alt="10.2" type="#_x0000_t75" style="position:absolute;left:0pt;margin-left:0pt;margin-top:-394.95pt;height:394.95pt;width:331.45pt;mso-wrap-distance-bottom:0pt;mso-wrap-distance-left:9pt;mso-wrap-distance-right:9pt;mso-wrap-distance-top:0pt;z-index:251680768;mso-width-relative:page;mso-height-relative:page;" filled="f" o:preferrelative="t" stroked="f" coordsize="21600,21600">
                  <v:path/>
                  <v:fill on="f" focussize="0,0"/>
                  <v:stroke on="f"/>
                  <v:imagedata r:id="rId31" o:title="10.2"/>
                  <o:lock v:ext="edit" aspectratio="t"/>
                  <w10:wrap type="square"/>
                </v:shape>
              </w:pict>
            </w:r>
          </w:p>
        </w:tc>
      </w:tr>
    </w:tbl>
    <w:p>
      <w:pPr>
        <w:rPr>
          <w:rFonts w:hint="eastAsia"/>
        </w:rPr>
      </w:pPr>
      <w:r>
        <w:rPr>
          <w:rFonts w:hint="eastAsia"/>
          <w:lang w:val="zh-CN"/>
        </w:rPr>
        <w:pict>
          <v:shape id="文本框 65" o:spid="_x0000_s1048" o:spt="202" type="#_x0000_t202" style="position:absolute;left:0pt;margin-left:261pt;margin-top:109.3pt;height:49.3pt;width:198.55pt;z-index:251678720;mso-width-relative:page;mso-height-relative:page;" filled="f" stroked="f" coordsize="21600,21600" o:gfxdata="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ygkgRNkAAAALAQAADwAAAAAAAAABACAAAAAiAAAAZHJzL2Rvd25yZXYueG1sUEsBAhQA&#10;FAAAAAgAh07iQEBbvP+4AQAASQMAAA4AAAAAAAAAAQAgAAAAKAEAAGRycy9lMm9Eb2MueG1sUEsF&#10;BgAAAAAGAAYAWQEAAFIFAAAAAA==&#10;">
            <v:path/>
            <v:fill on="f" focussize="0,0"/>
            <v:stroke on="f"/>
            <v:imagedata o:title=""/>
            <o:lock v:ext="edit" grouping="f" rotation="f" text="f" aspectratio="f"/>
            <v:textbox inset="7.19992125984252pt,3.59992125984252pt,7.19992125984252pt,3.59992125984252pt">
              <w:txbxContent>
                <w:p>
                  <w:pPr>
                    <w:rPr>
                      <w:rFonts w:hint="eastAsia"/>
                    </w:rPr>
                  </w:pPr>
                </w:p>
                <w:p>
                  <w:pPr>
                    <w:rPr>
                      <w:rFonts w:hint="eastAsia" w:ascii="黑体" w:hAnsi="黑体" w:eastAsia="黑体" w:cs="黑体"/>
                    </w:rPr>
                  </w:pPr>
                </w:p>
                <w:p>
                  <w:pPr>
                    <w:rPr>
                      <w:rFonts w:hint="eastAsia"/>
                    </w:rPr>
                  </w:pPr>
                </w:p>
                <w:p>
                  <w:pPr>
                    <w:rPr>
                      <w:rFonts w:hint="eastAsia"/>
                    </w:rPr>
                  </w:pPr>
                </w:p>
              </w:txbxContent>
            </v:textbox>
          </v:shape>
        </w:pict>
      </w: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0900-Z-01100-140981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地质灾害治理工程勘查、设计、施工单位项目资质等级备案</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《地质灾害治理工程勘查设计施工单位资质管理办法》（国土资源部令第30号） 第二十七条；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《地质灾害治理工程监理单位资质管理办法》（国土资源部令第31号）第二十五条。         </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不符合条件或不属于本机关事项的不予受理并告知理由。2.审查责任：对申请材料进行审查、提出审查意见。3.决定责任：做出是否同意备案的决定。4.送达责任：政务大厅依法办理。5.事后监管责任：监督申请人是否按照备案资料载明的内容从事相关工作，依法采取相关处置措施。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【行政法规】《地质灾害防治条例》（国务院第394号令）第四十条；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【部门规章】《地质灾害治理工程勘查设计施工单位资质管理办法》（国土资源部第30号令） 第三十条；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【部门规章】《地质灾害治理工程监理单位资质管理办法》（国土资源部第31号令）第二十八条；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原平市国土资源局地环股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ind w:firstLine="420" w:firstLineChars="200"/>
              <w:jc w:val="both"/>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49" o:spid="_x0000_s1049" o:spt="75" alt="11" type="#_x0000_t75" style="position:absolute;left:0pt;margin-left:0pt;margin-top:-400.5pt;height:414.9pt;width:370.4pt;mso-wrap-distance-bottom:0pt;mso-wrap-distance-left:9pt;mso-wrap-distance-right:9pt;mso-wrap-distance-top:0pt;z-index:251681792;mso-width-relative:page;mso-height-relative:page;" filled="f" o:preferrelative="t" stroked="f" coordsize="21600,21600">
                  <v:path/>
                  <v:fill on="f" focussize="0,0"/>
                  <v:stroke on="f"/>
                  <v:imagedata r:id="rId32" o:title="11"/>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50" o:spid="_x0000_s1050" o:spt="75" alt="11" type="#_x0000_t75" style="position:absolute;left:0pt;margin-left:0pt;margin-top:-394.95pt;height:395.95pt;width:331.45pt;mso-wrap-distance-bottom:0pt;mso-wrap-distance-left:9pt;mso-wrap-distance-right:9pt;mso-wrap-distance-top:0pt;z-index:251682816;mso-width-relative:page;mso-height-relative:page;" filled="f" o:preferrelative="t" stroked="f" coordsize="21600,21600">
                  <v:path/>
                  <v:fill on="f" focussize="0,0"/>
                  <v:stroke on="f"/>
                  <v:imagedata r:id="rId33" o:title="11"/>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0900-Z-01200-140981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地质灾害危险性评估单位项目资质等级备案</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《地质灾害危险性评估单位资质管理办法》（2005年国土资源部令第29号） 第二十七条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不符合条件或不属于本机关事项的不予受理并告知理由。2.审查责任：会同相关股室对申请材料进行审查、提出审查意见。3.决定责任：分管领导批准，做出是否同意备案的决定。在备案表上盖章、编写备案号。4.送达责任：通知申请单位领取备案表。5.事后监管责任：监督申请人是否按照备案资料载明的内容从事相关工作，依法采取相关处置措施。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【行政法规】《地质灾害防治条例》（国务院第394号令）第四十条；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【部门规章】《地质灾害危险性评估单位资质管理办法》（2005年国土资源部令第29号）第三十一条；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【地方性法规】《山西省行政执法条例》第四十至四十二条；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原平市国土资源局地环股</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ind w:firstLine="420" w:firstLineChars="200"/>
              <w:jc w:val="both"/>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6" o:spid="_x0000_s1051" o:spt="75" alt="12" type="#_x0000_t75" style="position:absolute;left:0pt;margin-left:0pt;margin-top:-400.25pt;height:414.65pt;width:361.7pt;mso-wrap-distance-bottom:0pt;mso-wrap-distance-left:9pt;mso-wrap-distance-right:9pt;mso-wrap-distance-top:0pt;z-index:251683840;mso-width-relative:page;mso-height-relative:page;" filled="f" o:preferrelative="t" stroked="f" coordsize="21600,21600">
                  <v:path/>
                  <v:fill on="f" focussize="0,0"/>
                  <v:stroke on="f"/>
                  <v:imagedata r:id="rId34" o:title="12"/>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47" o:spid="_x0000_s1052" o:spt="75" alt="12" type="#_x0000_t75" style="position:absolute;left:0pt;margin-left:0pt;margin-top:-395.25pt;height:395.3pt;width:337.6pt;mso-wrap-distance-bottom:0pt;mso-wrap-distance-left:9pt;mso-wrap-distance-right:9pt;mso-wrap-distance-top:0pt;z-index:251684864;mso-width-relative:page;mso-height-relative:page;" filled="f" o:preferrelative="t" stroked="f" coordsize="21600,21600">
                  <v:path/>
                  <v:fill on="f" focussize="0,0"/>
                  <v:stroke on="f"/>
                  <v:imagedata r:id="rId35" o:title="12"/>
                  <o:lock v:ext="edit" aspectratio="t"/>
                  <w10:wrap type="square"/>
                </v:shape>
              </w:pict>
            </w:r>
          </w:p>
        </w:tc>
      </w:tr>
    </w:tbl>
    <w:p>
      <w:pPr>
        <w:rPr>
          <w:rFonts w:hint="eastAsia"/>
        </w:rPr>
      </w:pPr>
    </w:p>
    <w:tbl>
      <w:tblPr>
        <w:tblStyle w:val="5"/>
        <w:tblW w:w="13596" w:type="dxa"/>
        <w:tblInd w:w="100" w:type="dxa"/>
        <w:tblLayout w:type="fixed"/>
        <w:tblCellMar>
          <w:top w:w="0" w:type="dxa"/>
          <w:left w:w="0" w:type="dxa"/>
          <w:bottom w:w="0" w:type="dxa"/>
          <w:right w:w="0" w:type="dxa"/>
        </w:tblCellMar>
      </w:tblPr>
      <w:tblGrid>
        <w:gridCol w:w="1459"/>
        <w:gridCol w:w="8398"/>
        <w:gridCol w:w="1800"/>
        <w:gridCol w:w="246"/>
        <w:gridCol w:w="1693"/>
      </w:tblGrid>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0900-Z-01300-140981</w:t>
            </w:r>
          </w:p>
        </w:tc>
        <w:tc>
          <w:tcPr>
            <w:tcW w:w="2046"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93"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土地收购储备</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978"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【法律】《土地储备管理办法》第六条</w:t>
            </w:r>
          </w:p>
        </w:tc>
      </w:tr>
      <w:tr>
        <w:tblPrEx>
          <w:tblLayout w:type="fixed"/>
          <w:tblCellMar>
            <w:top w:w="0" w:type="dxa"/>
            <w:left w:w="0" w:type="dxa"/>
            <w:bottom w:w="0" w:type="dxa"/>
            <w:right w:w="0" w:type="dxa"/>
          </w:tblCellMar>
        </w:tblPrEx>
        <w:trPr>
          <w:trHeight w:val="1177"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1.受理责任：公示依法应当提交的材料一次性告知报批材料，依法受理或不予受理（不予受理应当告知理由）。</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2.审查责任：对地块的坐落、权属调查核实，并核实相关资料。</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3.决定责任：形成方案，上报市政府审批。</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4.送达责任：向申请人，单位转送市政府批复文件。</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2944"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【法律】《公务员法》第五十三条；</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【党内法规】《中国共产党纪律处分条例》；</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【其他】其它违反法律法规规章文件规定的行为。</w:t>
            </w:r>
          </w:p>
        </w:tc>
      </w:tr>
      <w:tr>
        <w:tblPrEx>
          <w:tblLayout w:type="fixed"/>
          <w:tblCellMar>
            <w:top w:w="0" w:type="dxa"/>
            <w:left w:w="0" w:type="dxa"/>
            <w:bottom w:w="0" w:type="dxa"/>
            <w:right w:w="0" w:type="dxa"/>
          </w:tblCellMar>
        </w:tblPrEx>
        <w:trPr>
          <w:trHeight w:val="38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9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原平市国土资源局土地收购储备中心</w:t>
            </w:r>
          </w:p>
        </w:tc>
        <w:tc>
          <w:tcPr>
            <w:tcW w:w="1800"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39"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137" w:type="dxa"/>
            <w:gridSpan w:val="4"/>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63" o:spid="_x0000_s1053" o:spt="75" alt="13" type="#_x0000_t75" style="position:absolute;left:0pt;margin-left:0pt;margin-top:-10.95pt;height:449.95pt;width:398.55pt;mso-wrap-distance-bottom:0pt;mso-wrap-distance-left:9pt;mso-wrap-distance-right:9pt;mso-wrap-distance-top:0pt;z-index:251685888;mso-width-relative:page;mso-height-relative:page;" filled="f" o:preferrelative="t" stroked="f" coordsize="21600,21600">
                  <v:path/>
                  <v:fill on="f" focussize="0,0"/>
                  <v:stroke on="f"/>
                  <v:imagedata r:id="rId36" o:title="13"/>
                  <o:lock v:ext="edit" aspectratio="t"/>
                  <w10:wrap type="square"/>
                </v:shape>
              </w:pict>
            </w:r>
          </w:p>
        </w:tc>
      </w:tr>
      <w:tr>
        <w:tblPrEx>
          <w:tblLayout w:type="fixed"/>
          <w:tblCellMar>
            <w:top w:w="0" w:type="dxa"/>
            <w:left w:w="0" w:type="dxa"/>
            <w:bottom w:w="0" w:type="dxa"/>
            <w:right w:w="0" w:type="dxa"/>
          </w:tblCellMar>
        </w:tblPrEx>
        <w:trPr>
          <w:trHeight w:val="396" w:hRule="atLeast"/>
        </w:trPr>
        <w:tc>
          <w:tcPr>
            <w:tcW w:w="1459"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廉政风险防控图</w:t>
            </w:r>
          </w:p>
        </w:tc>
        <w:tc>
          <w:tcPr>
            <w:tcW w:w="12137" w:type="dxa"/>
            <w:gridSpan w:val="4"/>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64" o:spid="_x0000_s1054" o:spt="75" alt="13" type="#_x0000_t75" style="position:absolute;left:0pt;margin-left:0pt;margin-top:-430.4pt;height:434.2pt;width:368.85pt;mso-wrap-distance-bottom:0pt;mso-wrap-distance-left:9pt;mso-wrap-distance-right:9pt;mso-wrap-distance-top:0pt;z-index:251686912;mso-width-relative:page;mso-height-relative:page;" filled="f" o:preferrelative="t" stroked="f" coordsize="21600,21600">
                  <v:path/>
                  <v:fill on="f" focussize="0,0"/>
                  <v:stroke on="f"/>
                  <v:imagedata r:id="rId37" o:title="13"/>
                  <o:lock v:ext="edit" aspectratio="t"/>
                  <w10:wrap type="square"/>
                </v:shape>
              </w:pict>
            </w:r>
          </w:p>
        </w:tc>
      </w:tr>
    </w:tbl>
    <w:p>
      <w:pPr>
        <w:rPr>
          <w:rFonts w:hint="eastAsia"/>
        </w:rPr>
      </w:pPr>
    </w:p>
    <w:tbl>
      <w:tblPr>
        <w:tblStyle w:val="5"/>
        <w:tblW w:w="13480" w:type="dxa"/>
        <w:tblInd w:w="100" w:type="dxa"/>
        <w:tblLayout w:type="fixed"/>
        <w:tblCellMar>
          <w:top w:w="0" w:type="dxa"/>
          <w:left w:w="0" w:type="dxa"/>
          <w:bottom w:w="0" w:type="dxa"/>
          <w:right w:w="0" w:type="dxa"/>
        </w:tblCellMar>
      </w:tblPr>
      <w:tblGrid>
        <w:gridCol w:w="1447"/>
        <w:gridCol w:w="8325"/>
        <w:gridCol w:w="1784"/>
        <w:gridCol w:w="244"/>
        <w:gridCol w:w="1678"/>
        <w:gridCol w:w="2"/>
      </w:tblGrid>
      <w:tr>
        <w:tblPrEx>
          <w:tblLayout w:type="fixed"/>
          <w:tblCellMar>
            <w:top w:w="0" w:type="dxa"/>
            <w:left w:w="0" w:type="dxa"/>
            <w:bottom w:w="0" w:type="dxa"/>
            <w:right w:w="0" w:type="dxa"/>
          </w:tblCellMar>
        </w:tblPrEx>
        <w:trPr>
          <w:gridAfter w:val="1"/>
          <w:wAfter w:w="2" w:type="dxa"/>
          <w:trHeight w:val="324"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职权编码</w:t>
            </w:r>
          </w:p>
        </w:tc>
        <w:tc>
          <w:tcPr>
            <w:tcW w:w="8325"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0900-Z-01400-140981</w:t>
            </w:r>
          </w:p>
        </w:tc>
        <w:tc>
          <w:tcPr>
            <w:tcW w:w="2028" w:type="dxa"/>
            <w:gridSpan w:val="2"/>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职权类型</w:t>
            </w:r>
          </w:p>
        </w:tc>
        <w:tc>
          <w:tcPr>
            <w:tcW w:w="1678"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lang w:eastAsia="zh-CN"/>
              </w:rPr>
            </w:pPr>
            <w:r>
              <w:rPr>
                <w:rFonts w:hint="eastAsia" w:ascii="黑体" w:hAnsi="黑体" w:eastAsia="黑体" w:cs="黑体"/>
                <w:color w:val="000000"/>
                <w:kern w:val="0"/>
                <w:lang w:eastAsia="zh-CN"/>
              </w:rPr>
              <w:t>其他权利类</w:t>
            </w:r>
          </w:p>
        </w:tc>
      </w:tr>
      <w:tr>
        <w:tblPrEx>
          <w:tblLayout w:type="fixed"/>
          <w:tblCellMar>
            <w:top w:w="0" w:type="dxa"/>
            <w:left w:w="0" w:type="dxa"/>
            <w:bottom w:w="0" w:type="dxa"/>
            <w:right w:w="0" w:type="dxa"/>
          </w:tblCellMar>
        </w:tblPrEx>
        <w:trPr>
          <w:trHeight w:val="332"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职权名称</w:t>
            </w:r>
          </w:p>
        </w:tc>
        <w:tc>
          <w:tcPr>
            <w:tcW w:w="12033"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建设项目用地预审</w:t>
            </w:r>
          </w:p>
        </w:tc>
      </w:tr>
      <w:tr>
        <w:tblPrEx>
          <w:tblLayout w:type="fixed"/>
          <w:tblCellMar>
            <w:top w:w="0" w:type="dxa"/>
            <w:left w:w="0" w:type="dxa"/>
            <w:bottom w:w="0" w:type="dxa"/>
            <w:right w:w="0" w:type="dxa"/>
          </w:tblCellMar>
        </w:tblPrEx>
        <w:trPr>
          <w:trHeight w:val="324"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子  项</w:t>
            </w:r>
          </w:p>
        </w:tc>
        <w:tc>
          <w:tcPr>
            <w:tcW w:w="12033"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1607"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职权依据</w:t>
            </w:r>
          </w:p>
        </w:tc>
        <w:tc>
          <w:tcPr>
            <w:tcW w:w="12033"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【法律】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《中华人民共和国土地管理法》第五十二条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【行政法规】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《中华人民共和国土地管理法实施条例》第二十二条第一款第一项、第二十三条第一款第一项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【部门规章】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《建设项目用地预审管理办法》《建设用地审查报批管理办法》</w:t>
            </w:r>
          </w:p>
        </w:tc>
      </w:tr>
      <w:tr>
        <w:tblPrEx>
          <w:tblLayout w:type="fixed"/>
          <w:tblCellMar>
            <w:top w:w="0" w:type="dxa"/>
            <w:left w:w="0" w:type="dxa"/>
            <w:bottom w:w="0" w:type="dxa"/>
            <w:right w:w="0" w:type="dxa"/>
          </w:tblCellMar>
        </w:tblPrEx>
        <w:trPr>
          <w:trHeight w:val="1464"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责任事项</w:t>
            </w:r>
          </w:p>
        </w:tc>
        <w:tc>
          <w:tcPr>
            <w:tcW w:w="12033"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1.受理责任：公示依法应当提交的材料，一次性告知补正材料，依法受理或不予受理（不予受理应当告知理由）。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2.审查责任：按照国家产业政策、供地政策和国家相关用地标准及当地土地利用总体规划，对书面申请材料进行审查。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3.决定责任：批准并制发相应文书。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4.送达责任：下达批复文件，送达大厅。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5.事后监管责任：建立实施监督检查的运行机制和管理制度，依法采取相关处置措施。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6.其他责任：其他法律法规规章文件规定应履行的责任。</w:t>
            </w:r>
          </w:p>
        </w:tc>
      </w:tr>
      <w:tr>
        <w:tblPrEx>
          <w:tblLayout w:type="fixed"/>
          <w:tblCellMar>
            <w:top w:w="0" w:type="dxa"/>
            <w:left w:w="0" w:type="dxa"/>
            <w:bottom w:w="0" w:type="dxa"/>
            <w:right w:w="0" w:type="dxa"/>
          </w:tblCellMar>
        </w:tblPrEx>
        <w:trPr>
          <w:trHeight w:val="2386"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问责依据</w:t>
            </w:r>
          </w:p>
        </w:tc>
        <w:tc>
          <w:tcPr>
            <w:tcW w:w="12033"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【法律】《公务员法》第五十三条；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【法律】《中华人民共和国土地管理法》第八十四条；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【行政法规】《行政机关公务员处分条例》（国务院令第495号）第十九条至第二十八条；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【地方性法规】山西省实施《中华人民共和国土地管理法》办法第五十八条；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【地方性法规】《山西省行政执法条例》第四十至四十二条；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 xml:space="preserve">【党内法规】《中国共产党纪律处分条例》；  </w:t>
            </w:r>
          </w:p>
          <w:p>
            <w:pPr>
              <w:widowControl/>
              <w:spacing w:line="300" w:lineRule="exact"/>
              <w:jc w:val="left"/>
              <w:rPr>
                <w:rFonts w:hint="eastAsia" w:ascii="黑体" w:hAnsi="黑体" w:eastAsia="黑体" w:cs="黑体"/>
                <w:color w:val="000000"/>
              </w:rPr>
            </w:pPr>
            <w:r>
              <w:rPr>
                <w:rFonts w:hint="eastAsia" w:ascii="黑体" w:hAnsi="黑体" w:eastAsia="黑体" w:cs="黑体"/>
                <w:color w:val="000000"/>
              </w:rPr>
              <w:t>【其他】其他违反法律法规规章文件规定的行为。</w:t>
            </w:r>
          </w:p>
        </w:tc>
      </w:tr>
      <w:tr>
        <w:tblPrEx>
          <w:tblLayout w:type="fixed"/>
          <w:tblCellMar>
            <w:top w:w="0" w:type="dxa"/>
            <w:left w:w="0" w:type="dxa"/>
            <w:bottom w:w="0" w:type="dxa"/>
            <w:right w:w="0" w:type="dxa"/>
          </w:tblCellMar>
        </w:tblPrEx>
        <w:trPr>
          <w:gridAfter w:val="1"/>
          <w:wAfter w:w="2" w:type="dxa"/>
          <w:trHeight w:val="496"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实施主体</w:t>
            </w:r>
          </w:p>
        </w:tc>
        <w:tc>
          <w:tcPr>
            <w:tcW w:w="8325" w:type="dxa"/>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kern w:val="0"/>
              </w:rPr>
            </w:pPr>
            <w:r>
              <w:rPr>
                <w:rFonts w:hint="eastAsia" w:ascii="黑体" w:hAnsi="黑体" w:eastAsia="黑体" w:cs="黑体"/>
                <w:color w:val="000000"/>
                <w:kern w:val="0"/>
              </w:rPr>
              <w:t>原平市国土资源局规划股</w:t>
            </w:r>
          </w:p>
        </w:tc>
        <w:tc>
          <w:tcPr>
            <w:tcW w:w="1784"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责任主体</w:t>
            </w:r>
          </w:p>
        </w:tc>
        <w:tc>
          <w:tcPr>
            <w:tcW w:w="1922" w:type="dxa"/>
            <w:gridSpan w:val="2"/>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widowControl/>
              <w:spacing w:line="300" w:lineRule="exact"/>
              <w:jc w:val="left"/>
              <w:rPr>
                <w:rFonts w:hint="eastAsia" w:ascii="黑体" w:hAnsi="黑体" w:eastAsia="黑体" w:cs="黑体"/>
                <w:color w:val="000000"/>
              </w:rPr>
            </w:pPr>
            <w:r>
              <w:rPr>
                <w:rFonts w:hint="eastAsia" w:ascii="黑体" w:hAnsi="黑体" w:eastAsia="黑体" w:cs="黑体"/>
                <w:color w:val="000000"/>
                <w:kern w:val="0"/>
              </w:rPr>
              <w:t>原平市国土资源局</w:t>
            </w:r>
          </w:p>
        </w:tc>
      </w:tr>
      <w:tr>
        <w:tblPrEx>
          <w:tblLayout w:type="fixed"/>
          <w:tblCellMar>
            <w:top w:w="0" w:type="dxa"/>
            <w:left w:w="0" w:type="dxa"/>
            <w:bottom w:w="0" w:type="dxa"/>
            <w:right w:w="0" w:type="dxa"/>
          </w:tblCellMar>
        </w:tblPrEx>
        <w:trPr>
          <w:trHeight w:val="332" w:hRule="atLeast"/>
        </w:trPr>
        <w:tc>
          <w:tcPr>
            <w:tcW w:w="1447"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rPr>
            </w:pPr>
            <w:r>
              <w:rPr>
                <w:rFonts w:hint="eastAsia" w:ascii="黑体" w:hAnsi="黑体" w:eastAsia="黑体" w:cs="黑体"/>
                <w:color w:val="000000"/>
                <w:kern w:val="0"/>
              </w:rPr>
              <w:t>备注</w:t>
            </w:r>
          </w:p>
        </w:tc>
        <w:tc>
          <w:tcPr>
            <w:tcW w:w="12033"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rPr>
            </w:pPr>
          </w:p>
        </w:tc>
      </w:tr>
      <w:tr>
        <w:tblPrEx>
          <w:tblLayout w:type="fixed"/>
          <w:tblCellMar>
            <w:top w:w="0" w:type="dxa"/>
            <w:left w:w="0" w:type="dxa"/>
            <w:bottom w:w="0" w:type="dxa"/>
            <w:right w:w="0" w:type="dxa"/>
          </w:tblCellMar>
        </w:tblPrEx>
        <w:trPr>
          <w:trHeight w:val="332" w:hRule="atLeast"/>
        </w:trPr>
        <w:tc>
          <w:tcPr>
            <w:tcW w:w="1447" w:type="dxa"/>
            <w:tcBorders>
              <w:top w:val="single" w:color="DCDCDC" w:sz="6" w:space="0"/>
              <w:left w:val="single" w:color="DCDCDC" w:sz="6" w:space="0"/>
              <w:bottom w:val="single" w:color="DCDCDC" w:sz="6"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流程图</w:t>
            </w:r>
          </w:p>
        </w:tc>
        <w:tc>
          <w:tcPr>
            <w:tcW w:w="12033" w:type="dxa"/>
            <w:gridSpan w:val="5"/>
            <w:tcBorders>
              <w:top w:val="single" w:color="DCDCDC" w:sz="6" w:space="0"/>
              <w:left w:val="single" w:color="DCDCDC" w:sz="6" w:space="0"/>
              <w:bottom w:val="single" w:color="DCDCDC" w:sz="6"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_x0000_s1055" o:spid="_x0000_s1055" o:spt="75" alt="14" type="#_x0000_t75" style="position:absolute;left:0pt;margin-left:0pt;margin-top:-27.9pt;height:436.4pt;width:368.85pt;mso-wrap-distance-bottom:0pt;mso-wrap-distance-left:9pt;mso-wrap-distance-right:9pt;mso-wrap-distance-top:0pt;z-index:251687936;mso-width-relative:page;mso-height-relative:page;" filled="f" o:preferrelative="t" stroked="f" coordsize="21600,21600">
                  <v:path/>
                  <v:fill on="f" focussize="0,0"/>
                  <v:stroke on="f"/>
                  <v:imagedata r:id="rId38" o:title="14"/>
                  <o:lock v:ext="edit" aspectratio="t"/>
                  <w10:wrap type="square"/>
                </v:shape>
              </w:pict>
            </w:r>
          </w:p>
        </w:tc>
      </w:tr>
      <w:tr>
        <w:tblPrEx>
          <w:tblLayout w:type="fixed"/>
          <w:tblCellMar>
            <w:top w:w="0" w:type="dxa"/>
            <w:left w:w="0" w:type="dxa"/>
            <w:bottom w:w="0" w:type="dxa"/>
            <w:right w:w="0" w:type="dxa"/>
          </w:tblCellMar>
        </w:tblPrEx>
        <w:trPr>
          <w:trHeight w:val="336" w:hRule="atLeast"/>
        </w:trPr>
        <w:tc>
          <w:tcPr>
            <w:tcW w:w="1447" w:type="dxa"/>
            <w:tcBorders>
              <w:top w:val="single" w:color="DCDCDC" w:sz="6" w:space="0"/>
              <w:left w:val="single" w:color="DCDCDC" w:sz="6" w:space="0"/>
              <w:bottom w:val="single" w:color="DCDCDC" w:sz="2" w:space="0"/>
              <w:right w:val="single" w:color="DCDCDC" w:sz="2" w:space="0"/>
            </w:tcBorders>
            <w:shd w:val="clear" w:color="auto" w:fill="FFFFFF"/>
            <w:vAlign w:val="center"/>
          </w:tcPr>
          <w:p>
            <w:pPr>
              <w:widowControl/>
              <w:spacing w:line="300" w:lineRule="exact"/>
              <w:jc w:val="center"/>
              <w:rPr>
                <w:rFonts w:hint="eastAsia" w:ascii="黑体" w:hAnsi="黑体" w:eastAsia="黑体" w:cs="黑体"/>
                <w:color w:val="000000"/>
                <w:kern w:val="0"/>
                <w:lang w:eastAsia="zh-CN"/>
              </w:rPr>
            </w:pPr>
            <w:r>
              <w:rPr>
                <w:rFonts w:hint="eastAsia" w:ascii="黑体" w:hAnsi="黑体" w:eastAsia="黑体" w:cs="黑体"/>
                <w:color w:val="000000"/>
                <w:kern w:val="0"/>
                <w:lang w:eastAsia="zh-CN"/>
              </w:rPr>
              <w:t>廉政</w:t>
            </w:r>
            <w:bookmarkStart w:id="0" w:name="_GoBack"/>
            <w:bookmarkEnd w:id="0"/>
            <w:r>
              <w:rPr>
                <w:rFonts w:hint="eastAsia" w:ascii="黑体" w:hAnsi="黑体" w:eastAsia="黑体" w:cs="黑体"/>
                <w:color w:val="000000"/>
                <w:kern w:val="0"/>
                <w:lang w:eastAsia="zh-CN"/>
              </w:rPr>
              <w:t>风险防控图</w:t>
            </w:r>
          </w:p>
        </w:tc>
        <w:tc>
          <w:tcPr>
            <w:tcW w:w="12033" w:type="dxa"/>
            <w:gridSpan w:val="5"/>
            <w:tcBorders>
              <w:top w:val="single" w:color="DCDCDC" w:sz="6" w:space="0"/>
              <w:left w:val="single" w:color="DCDCDC" w:sz="6" w:space="0"/>
              <w:bottom w:val="single" w:color="DCDCDC" w:sz="2" w:space="0"/>
              <w:right w:val="single" w:color="DCDCDC" w:sz="2" w:space="0"/>
            </w:tcBorders>
            <w:shd w:val="clear" w:color="auto" w:fill="FFFFFF"/>
            <w:tcMar>
              <w:top w:w="0" w:type="dxa"/>
              <w:left w:w="150" w:type="dxa"/>
              <w:bottom w:w="0" w:type="dxa"/>
              <w:right w:w="0" w:type="dxa"/>
            </w:tcMar>
            <w:vAlign w:val="center"/>
          </w:tcPr>
          <w:p>
            <w:pPr>
              <w:spacing w:line="300" w:lineRule="exact"/>
              <w:jc w:val="left"/>
              <w:rPr>
                <w:rFonts w:hint="eastAsia" w:ascii="黑体" w:hAnsi="黑体" w:eastAsia="黑体" w:cs="黑体"/>
                <w:color w:val="000000"/>
                <w:lang w:eastAsia="zh-CN"/>
              </w:rPr>
            </w:pPr>
            <w:r>
              <w:rPr>
                <w:rFonts w:hint="eastAsia" w:ascii="黑体" w:hAnsi="黑体" w:eastAsia="黑体" w:cs="黑体"/>
                <w:color w:val="000000"/>
                <w:lang w:eastAsia="zh-CN"/>
              </w:rPr>
              <w:pict>
                <v:shape id="图片 352" o:spid="_x0000_s1056" o:spt="75" alt="14" type="#_x0000_t75" style="position:absolute;left:0pt;margin-left:0pt;margin-top:-416.85pt;height:407.15pt;width:351.45pt;mso-wrap-distance-bottom:0pt;mso-wrap-distance-left:9pt;mso-wrap-distance-right:9pt;mso-wrap-distance-top:0pt;z-index:251688960;mso-width-relative:page;mso-height-relative:page;" filled="f" o:preferrelative="t" stroked="f" coordsize="21600,21600">
                  <v:path/>
                  <v:fill on="f" focussize="0,0"/>
                  <v:stroke on="f"/>
                  <v:imagedata r:id="rId39" o:title="14"/>
                  <o:lock v:ext="edit" aspectratio="t"/>
                  <w10:wrap type="square"/>
                </v:shape>
              </w:pict>
            </w:r>
          </w:p>
        </w:tc>
      </w:tr>
    </w:tbl>
    <w:p>
      <w:pPr>
        <w:rPr>
          <w:rFonts w:hint="eastAsia"/>
        </w:rPr>
      </w:pPr>
    </w:p>
    <w:p/>
    <w:sectPr>
      <w:headerReference r:id="rId5" w:type="first"/>
      <w:footerReference r:id="rId8" w:type="first"/>
      <w:headerReference r:id="rId3" w:type="default"/>
      <w:footerReference r:id="rId6" w:type="default"/>
      <w:headerReference r:id="rId4" w:type="even"/>
      <w:footerReference r:id="rId7" w:type="even"/>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08"/>
    <w:rsid w:val="00015D9A"/>
    <w:rsid w:val="00041354"/>
    <w:rsid w:val="0006546C"/>
    <w:rsid w:val="00066C84"/>
    <w:rsid w:val="00066E41"/>
    <w:rsid w:val="000B372B"/>
    <w:rsid w:val="000B6B3D"/>
    <w:rsid w:val="000F5BDD"/>
    <w:rsid w:val="001058D1"/>
    <w:rsid w:val="00174EA5"/>
    <w:rsid w:val="001A7821"/>
    <w:rsid w:val="00297296"/>
    <w:rsid w:val="002C70CF"/>
    <w:rsid w:val="002D0B54"/>
    <w:rsid w:val="002D5598"/>
    <w:rsid w:val="00334933"/>
    <w:rsid w:val="00353797"/>
    <w:rsid w:val="003606F1"/>
    <w:rsid w:val="003C4EB9"/>
    <w:rsid w:val="004535A7"/>
    <w:rsid w:val="00490408"/>
    <w:rsid w:val="00494708"/>
    <w:rsid w:val="004A32B1"/>
    <w:rsid w:val="004A512D"/>
    <w:rsid w:val="005019B1"/>
    <w:rsid w:val="00536D80"/>
    <w:rsid w:val="00545F31"/>
    <w:rsid w:val="005572B7"/>
    <w:rsid w:val="005671B1"/>
    <w:rsid w:val="005C3614"/>
    <w:rsid w:val="00600277"/>
    <w:rsid w:val="00603925"/>
    <w:rsid w:val="0061056A"/>
    <w:rsid w:val="006375C4"/>
    <w:rsid w:val="00654269"/>
    <w:rsid w:val="006B7076"/>
    <w:rsid w:val="006B777E"/>
    <w:rsid w:val="006C4495"/>
    <w:rsid w:val="006E27C3"/>
    <w:rsid w:val="007373AA"/>
    <w:rsid w:val="00794F29"/>
    <w:rsid w:val="007A409E"/>
    <w:rsid w:val="007C1157"/>
    <w:rsid w:val="008119DD"/>
    <w:rsid w:val="00872EE5"/>
    <w:rsid w:val="008A5720"/>
    <w:rsid w:val="008C3D10"/>
    <w:rsid w:val="008E26E4"/>
    <w:rsid w:val="00906024"/>
    <w:rsid w:val="00910BC0"/>
    <w:rsid w:val="00957A5A"/>
    <w:rsid w:val="0096482C"/>
    <w:rsid w:val="009775D5"/>
    <w:rsid w:val="00985342"/>
    <w:rsid w:val="009870B1"/>
    <w:rsid w:val="009A7EA5"/>
    <w:rsid w:val="00A24F92"/>
    <w:rsid w:val="00A75555"/>
    <w:rsid w:val="00AB359B"/>
    <w:rsid w:val="00B10382"/>
    <w:rsid w:val="00B77AE7"/>
    <w:rsid w:val="00C26034"/>
    <w:rsid w:val="00D26F1B"/>
    <w:rsid w:val="00D44CFE"/>
    <w:rsid w:val="00D536B7"/>
    <w:rsid w:val="00D63339"/>
    <w:rsid w:val="00D94661"/>
    <w:rsid w:val="00DF4CDA"/>
    <w:rsid w:val="00E06BB0"/>
    <w:rsid w:val="00E264A8"/>
    <w:rsid w:val="00E408F7"/>
    <w:rsid w:val="00E41973"/>
    <w:rsid w:val="00E86363"/>
    <w:rsid w:val="00EA40E5"/>
    <w:rsid w:val="00EB79BD"/>
    <w:rsid w:val="00EB7D4A"/>
    <w:rsid w:val="00EC7B58"/>
    <w:rsid w:val="00F8394B"/>
    <w:rsid w:val="00FA7D81"/>
    <w:rsid w:val="00FD6BBA"/>
    <w:rsid w:val="01997DC1"/>
    <w:rsid w:val="02CC6D4C"/>
    <w:rsid w:val="04CB41BF"/>
    <w:rsid w:val="04F503BE"/>
    <w:rsid w:val="06B21D2E"/>
    <w:rsid w:val="083E787C"/>
    <w:rsid w:val="085C3FDC"/>
    <w:rsid w:val="0B872E8C"/>
    <w:rsid w:val="0D5D2E11"/>
    <w:rsid w:val="0E5F5237"/>
    <w:rsid w:val="0FDA6F15"/>
    <w:rsid w:val="16C15F04"/>
    <w:rsid w:val="18902BDF"/>
    <w:rsid w:val="190D13E7"/>
    <w:rsid w:val="1ABA557B"/>
    <w:rsid w:val="1EBB14C8"/>
    <w:rsid w:val="1F432381"/>
    <w:rsid w:val="24E105D8"/>
    <w:rsid w:val="26192D63"/>
    <w:rsid w:val="26B2361D"/>
    <w:rsid w:val="26C91436"/>
    <w:rsid w:val="2AB74B2A"/>
    <w:rsid w:val="2DE01ABB"/>
    <w:rsid w:val="310C0999"/>
    <w:rsid w:val="319A74E5"/>
    <w:rsid w:val="31BA1592"/>
    <w:rsid w:val="33B671FB"/>
    <w:rsid w:val="345C7A30"/>
    <w:rsid w:val="35731B52"/>
    <w:rsid w:val="37D6133C"/>
    <w:rsid w:val="39BD68F1"/>
    <w:rsid w:val="3BBB7945"/>
    <w:rsid w:val="405815C6"/>
    <w:rsid w:val="43DD4A6C"/>
    <w:rsid w:val="449D0E96"/>
    <w:rsid w:val="45AB3806"/>
    <w:rsid w:val="487E7F33"/>
    <w:rsid w:val="49830DD0"/>
    <w:rsid w:val="4F892C78"/>
    <w:rsid w:val="510E40C4"/>
    <w:rsid w:val="51C11A43"/>
    <w:rsid w:val="52277D3F"/>
    <w:rsid w:val="53233C58"/>
    <w:rsid w:val="55F86F03"/>
    <w:rsid w:val="564E5DB8"/>
    <w:rsid w:val="57264C2C"/>
    <w:rsid w:val="58881461"/>
    <w:rsid w:val="5A1E4D7B"/>
    <w:rsid w:val="5D4039EB"/>
    <w:rsid w:val="5DDE60BB"/>
    <w:rsid w:val="5EB6167C"/>
    <w:rsid w:val="62BB5893"/>
    <w:rsid w:val="62E43A85"/>
    <w:rsid w:val="634D5E8D"/>
    <w:rsid w:val="63872F4E"/>
    <w:rsid w:val="63B0012F"/>
    <w:rsid w:val="67235BE8"/>
    <w:rsid w:val="67AD76BB"/>
    <w:rsid w:val="6D535020"/>
    <w:rsid w:val="74095481"/>
    <w:rsid w:val="74CD2876"/>
    <w:rsid w:val="795A1764"/>
    <w:rsid w:val="7AA25D4E"/>
    <w:rsid w:val="7E6C56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f" stroke="f">
      <v:fill on="f"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Calibri" w:hAnsi="Calibri" w:eastAsia="宋体" w:cs="Times New Roman"/>
      <w:kern w:val="2"/>
      <w:sz w:val="21"/>
      <w:szCs w:val="21"/>
      <w:lang w:val="en-US" w:eastAsia="zh-CN" w:bidi="ar-SA"/>
    </w:rPr>
  </w:style>
  <w:style w:type="character" w:default="1" w:styleId="4">
    <w:name w:val="Default Paragraph Font"/>
    <w:semiHidden/>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0</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2018-08-07T03:29:00Z</dcterms:created>
  <dc:creator>Administrator</dc:creator>
  <cp:lastModifiedBy>Administrator</cp:lastModifiedBy>
  <dcterms:modified xsi:type="dcterms:W3CDTF">2018-08-07T03:30:30Z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